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4F5A7" w14:textId="6AEA1329" w:rsidR="000032A4" w:rsidRDefault="000032A4" w:rsidP="009F6FB4">
      <w:pPr>
        <w:spacing w:line="360" w:lineRule="auto"/>
        <w:jc w:val="center"/>
        <w:rPr>
          <w:rFonts w:ascii="Arial" w:hAnsi="Arial" w:cs="Arial"/>
          <w:b/>
          <w:sz w:val="32"/>
          <w:szCs w:val="32"/>
        </w:rPr>
      </w:pPr>
      <w:bookmarkStart w:id="0" w:name="_GoBack"/>
    </w:p>
    <w:bookmarkEnd w:id="0"/>
    <w:p w14:paraId="4CB0DA50" w14:textId="77777777" w:rsidR="009F6FB4" w:rsidRPr="009F6FB4" w:rsidRDefault="009F6FB4" w:rsidP="009F6FB4">
      <w:pPr>
        <w:spacing w:line="360" w:lineRule="auto"/>
        <w:jc w:val="center"/>
        <w:rPr>
          <w:rFonts w:ascii="Arial" w:hAnsi="Arial" w:cs="Arial"/>
          <w:b/>
          <w:sz w:val="32"/>
          <w:szCs w:val="32"/>
        </w:rPr>
      </w:pPr>
      <w:r w:rsidRPr="009F6FB4">
        <w:rPr>
          <w:rFonts w:ascii="Arial" w:hAnsi="Arial" w:cs="Arial"/>
          <w:b/>
          <w:sz w:val="32"/>
          <w:szCs w:val="32"/>
        </w:rPr>
        <w:t>“At its best, stop and search is a vital power in the fight against crime; at its worst, it is a waste of police time and serves to undermine public confidence in the police. It is time to get stop and search right”</w:t>
      </w:r>
    </w:p>
    <w:p w14:paraId="37B41651" w14:textId="77777777" w:rsidR="009F6FB4" w:rsidRPr="009F6FB4" w:rsidRDefault="009F6FB4" w:rsidP="009F6FB4">
      <w:pPr>
        <w:spacing w:line="360" w:lineRule="auto"/>
        <w:jc w:val="center"/>
        <w:rPr>
          <w:rFonts w:ascii="Arial" w:hAnsi="Arial" w:cs="Arial"/>
          <w:b/>
          <w:sz w:val="32"/>
          <w:szCs w:val="32"/>
        </w:rPr>
      </w:pPr>
      <w:r w:rsidRPr="009F6FB4">
        <w:rPr>
          <w:rFonts w:ascii="Arial" w:hAnsi="Arial" w:cs="Arial"/>
          <w:b/>
          <w:sz w:val="32"/>
          <w:szCs w:val="32"/>
        </w:rPr>
        <w:t>(Theresa May, Home Secretary in a statement to the House of Commons on the powers of police to stop and search members of the public, July 2013)</w:t>
      </w:r>
    </w:p>
    <w:p w14:paraId="12C8E072" w14:textId="07AE9EF3" w:rsidR="00814696" w:rsidRPr="009F6FB4" w:rsidRDefault="00814696" w:rsidP="00F91605">
      <w:pPr>
        <w:spacing w:line="360" w:lineRule="auto"/>
        <w:ind w:left="1417"/>
        <w:jc w:val="center"/>
        <w:rPr>
          <w:rFonts w:ascii="Arial" w:hAnsi="Arial" w:cs="Arial"/>
          <w:b/>
          <w:i/>
          <w:sz w:val="32"/>
          <w:szCs w:val="32"/>
        </w:rPr>
      </w:pPr>
    </w:p>
    <w:p w14:paraId="3F571FAD" w14:textId="77777777" w:rsidR="00814696" w:rsidRPr="009F6FB4" w:rsidRDefault="00814696" w:rsidP="00F91605">
      <w:pPr>
        <w:spacing w:line="360" w:lineRule="auto"/>
        <w:ind w:left="1417"/>
        <w:jc w:val="center"/>
        <w:rPr>
          <w:rFonts w:ascii="Arial" w:hAnsi="Arial" w:cs="Arial"/>
          <w:b/>
          <w:i/>
          <w:sz w:val="32"/>
          <w:szCs w:val="32"/>
        </w:rPr>
      </w:pPr>
    </w:p>
    <w:p w14:paraId="0C66F469" w14:textId="77777777" w:rsidR="00814696" w:rsidRDefault="00814696" w:rsidP="00F91605">
      <w:pPr>
        <w:spacing w:line="360" w:lineRule="auto"/>
        <w:ind w:left="1417"/>
        <w:jc w:val="center"/>
        <w:rPr>
          <w:rFonts w:ascii="Arial" w:hAnsi="Arial" w:cs="Arial"/>
          <w:b/>
          <w:i/>
          <w:sz w:val="24"/>
          <w:szCs w:val="24"/>
        </w:rPr>
      </w:pPr>
    </w:p>
    <w:p w14:paraId="64BB1B56" w14:textId="77777777" w:rsidR="00814696" w:rsidRDefault="00814696" w:rsidP="009F6FB4">
      <w:pPr>
        <w:spacing w:line="360" w:lineRule="auto"/>
        <w:rPr>
          <w:rFonts w:ascii="Arial" w:hAnsi="Arial" w:cs="Arial"/>
          <w:b/>
          <w:i/>
          <w:sz w:val="24"/>
          <w:szCs w:val="24"/>
        </w:rPr>
      </w:pPr>
    </w:p>
    <w:p w14:paraId="79149F1C" w14:textId="77777777" w:rsidR="00041C1A" w:rsidRPr="00495F14" w:rsidRDefault="00041C1A" w:rsidP="009F6FB4">
      <w:pPr>
        <w:spacing w:line="360" w:lineRule="auto"/>
        <w:jc w:val="both"/>
        <w:rPr>
          <w:rFonts w:ascii="Arial" w:hAnsi="Arial" w:cs="Arial"/>
          <w:sz w:val="24"/>
          <w:szCs w:val="24"/>
        </w:rPr>
      </w:pPr>
    </w:p>
    <w:p w14:paraId="2728F274" w14:textId="77777777" w:rsidR="00041C1A" w:rsidRPr="00495F14" w:rsidRDefault="00041C1A" w:rsidP="00F91605">
      <w:pPr>
        <w:spacing w:after="0" w:line="360" w:lineRule="auto"/>
        <w:ind w:left="1417"/>
        <w:jc w:val="both"/>
        <w:rPr>
          <w:rFonts w:ascii="Arial" w:hAnsi="Arial" w:cs="Arial"/>
          <w:sz w:val="24"/>
          <w:szCs w:val="24"/>
        </w:rPr>
      </w:pPr>
      <w:r w:rsidRPr="00495F14">
        <w:rPr>
          <w:rFonts w:ascii="Arial" w:hAnsi="Arial" w:cs="Arial"/>
          <w:sz w:val="24"/>
          <w:szCs w:val="24"/>
        </w:rPr>
        <w:t>Parliament has enacted legislation that allows police officers to stop and search individuals in order to distinguish between unfounded and grounded suspicions and to reduce the number of arrests</w:t>
      </w:r>
      <w:r w:rsidRPr="00495F14">
        <w:rPr>
          <w:rFonts w:ascii="Arial" w:hAnsi="Arial" w:cs="Arial"/>
          <w:sz w:val="24"/>
          <w:szCs w:val="24"/>
          <w:vertAlign w:val="superscript"/>
        </w:rPr>
        <w:footnoteReference w:id="1"/>
      </w:r>
      <w:r w:rsidRPr="00495F14">
        <w:rPr>
          <w:rFonts w:ascii="Arial" w:hAnsi="Arial" w:cs="Arial"/>
          <w:sz w:val="24"/>
          <w:szCs w:val="24"/>
        </w:rPr>
        <w:t>. Yet, as the Lawrence Enquiry has pointed out, the police are not immune from “</w:t>
      </w:r>
      <w:r w:rsidRPr="00A44392">
        <w:rPr>
          <w:rFonts w:ascii="Arial" w:hAnsi="Arial" w:cs="Arial"/>
          <w:i/>
          <w:sz w:val="24"/>
          <w:szCs w:val="24"/>
        </w:rPr>
        <w:t>institutional… racis[m</w:t>
      </w:r>
      <w:r w:rsidRPr="00495F14">
        <w:rPr>
          <w:rFonts w:ascii="Arial" w:hAnsi="Arial" w:cs="Arial"/>
          <w:sz w:val="24"/>
          <w:szCs w:val="24"/>
        </w:rPr>
        <w:t>]”</w:t>
      </w:r>
      <w:r w:rsidRPr="00495F14">
        <w:rPr>
          <w:rStyle w:val="FootnoteReference"/>
          <w:rFonts w:ascii="Arial" w:hAnsi="Arial" w:cs="Arial"/>
          <w:sz w:val="24"/>
          <w:szCs w:val="24"/>
        </w:rPr>
        <w:footnoteReference w:id="2"/>
      </w:r>
      <w:r w:rsidRPr="00495F14">
        <w:rPr>
          <w:rFonts w:ascii="Arial" w:hAnsi="Arial" w:cs="Arial"/>
          <w:sz w:val="24"/>
          <w:szCs w:val="24"/>
        </w:rPr>
        <w:t xml:space="preserve">. </w:t>
      </w:r>
      <w:r w:rsidR="001A5A34" w:rsidRPr="00495F14">
        <w:rPr>
          <w:rFonts w:ascii="Arial" w:hAnsi="Arial" w:cs="Arial"/>
          <w:sz w:val="24"/>
          <w:szCs w:val="24"/>
        </w:rPr>
        <w:t xml:space="preserve">A </w:t>
      </w:r>
      <w:r w:rsidRPr="00495F14">
        <w:rPr>
          <w:rFonts w:ascii="Arial" w:hAnsi="Arial" w:cs="Arial"/>
          <w:sz w:val="24"/>
          <w:szCs w:val="24"/>
        </w:rPr>
        <w:t>number of academics</w:t>
      </w:r>
      <w:r w:rsidR="001A5A34" w:rsidRPr="00495F14">
        <w:rPr>
          <w:rFonts w:ascii="Arial" w:hAnsi="Arial" w:cs="Arial"/>
          <w:sz w:val="24"/>
          <w:szCs w:val="24"/>
        </w:rPr>
        <w:t>, for example,</w:t>
      </w:r>
      <w:r w:rsidRPr="00495F14">
        <w:rPr>
          <w:rFonts w:ascii="Arial" w:hAnsi="Arial" w:cs="Arial"/>
          <w:sz w:val="24"/>
          <w:szCs w:val="24"/>
        </w:rPr>
        <w:t xml:space="preserve"> </w:t>
      </w:r>
      <w:r w:rsidR="00A1150E">
        <w:rPr>
          <w:rFonts w:ascii="Arial" w:hAnsi="Arial" w:cs="Arial"/>
          <w:sz w:val="24"/>
          <w:szCs w:val="24"/>
        </w:rPr>
        <w:t xml:space="preserve">have </w:t>
      </w:r>
      <w:r w:rsidRPr="00495F14">
        <w:rPr>
          <w:rFonts w:ascii="Arial" w:hAnsi="Arial" w:cs="Arial"/>
          <w:sz w:val="24"/>
          <w:szCs w:val="24"/>
        </w:rPr>
        <w:t>contend</w:t>
      </w:r>
      <w:r w:rsidR="00A1150E">
        <w:rPr>
          <w:rFonts w:ascii="Arial" w:hAnsi="Arial" w:cs="Arial"/>
          <w:sz w:val="24"/>
          <w:szCs w:val="24"/>
        </w:rPr>
        <w:t>ed</w:t>
      </w:r>
      <w:r w:rsidRPr="00495F14">
        <w:rPr>
          <w:rFonts w:ascii="Arial" w:hAnsi="Arial" w:cs="Arial"/>
          <w:sz w:val="24"/>
          <w:szCs w:val="24"/>
        </w:rPr>
        <w:t xml:space="preserve"> that the police discriminate against ethnic minorities and </w:t>
      </w:r>
      <w:r w:rsidR="00EE085E" w:rsidRPr="00495F14">
        <w:rPr>
          <w:rFonts w:ascii="Arial" w:hAnsi="Arial" w:cs="Arial"/>
          <w:sz w:val="24"/>
          <w:szCs w:val="24"/>
        </w:rPr>
        <w:t>retain</w:t>
      </w:r>
      <w:r w:rsidRPr="00495F14">
        <w:rPr>
          <w:rFonts w:ascii="Arial" w:hAnsi="Arial" w:cs="Arial"/>
          <w:sz w:val="24"/>
          <w:szCs w:val="24"/>
        </w:rPr>
        <w:t xml:space="preserve"> too much discretion</w:t>
      </w:r>
      <w:r w:rsidRPr="00495F14">
        <w:rPr>
          <w:rFonts w:ascii="Arial" w:hAnsi="Arial" w:cs="Arial"/>
          <w:sz w:val="24"/>
          <w:szCs w:val="24"/>
          <w:vertAlign w:val="superscript"/>
        </w:rPr>
        <w:footnoteReference w:id="3"/>
      </w:r>
      <w:r w:rsidRPr="00495F14">
        <w:rPr>
          <w:rFonts w:ascii="Arial" w:hAnsi="Arial" w:cs="Arial"/>
          <w:sz w:val="24"/>
          <w:szCs w:val="24"/>
        </w:rPr>
        <w:t>. By contrast, others</w:t>
      </w:r>
      <w:r w:rsidR="00A1150E">
        <w:rPr>
          <w:rFonts w:ascii="Arial" w:hAnsi="Arial" w:cs="Arial"/>
          <w:sz w:val="24"/>
          <w:szCs w:val="24"/>
        </w:rPr>
        <w:t xml:space="preserve"> have</w:t>
      </w:r>
      <w:r w:rsidRPr="00495F14">
        <w:rPr>
          <w:rFonts w:ascii="Arial" w:hAnsi="Arial" w:cs="Arial"/>
          <w:sz w:val="24"/>
          <w:szCs w:val="24"/>
        </w:rPr>
        <w:t xml:space="preserve"> maintain</w:t>
      </w:r>
      <w:r w:rsidR="00A1150E">
        <w:rPr>
          <w:rFonts w:ascii="Arial" w:hAnsi="Arial" w:cs="Arial"/>
          <w:sz w:val="24"/>
          <w:szCs w:val="24"/>
        </w:rPr>
        <w:t>ed</w:t>
      </w:r>
      <w:r w:rsidRPr="00495F14">
        <w:rPr>
          <w:rFonts w:ascii="Arial" w:hAnsi="Arial" w:cs="Arial"/>
          <w:sz w:val="24"/>
          <w:szCs w:val="24"/>
        </w:rPr>
        <w:t xml:space="preserve"> that a greater focus on objectivity would not solve the conundrum. In fact, research has</w:t>
      </w:r>
      <w:r w:rsidR="008E1EF1" w:rsidRPr="00495F14">
        <w:rPr>
          <w:rFonts w:ascii="Arial" w:hAnsi="Arial" w:cs="Arial"/>
          <w:sz w:val="24"/>
          <w:szCs w:val="24"/>
        </w:rPr>
        <w:t xml:space="preserve"> proven that a decisive factor</w:t>
      </w:r>
      <w:r w:rsidRPr="00495F14">
        <w:rPr>
          <w:rFonts w:ascii="Arial" w:hAnsi="Arial" w:cs="Arial"/>
          <w:sz w:val="24"/>
          <w:szCs w:val="24"/>
        </w:rPr>
        <w:t xml:space="preserve"> is intuition</w:t>
      </w:r>
      <w:r w:rsidRPr="00495F14">
        <w:rPr>
          <w:rStyle w:val="FootnoteReference"/>
          <w:rFonts w:ascii="Arial" w:hAnsi="Arial" w:cs="Arial"/>
          <w:sz w:val="24"/>
          <w:szCs w:val="24"/>
        </w:rPr>
        <w:footnoteReference w:id="4"/>
      </w:r>
      <w:r w:rsidRPr="00495F14">
        <w:rPr>
          <w:rFonts w:ascii="Arial" w:hAnsi="Arial" w:cs="Arial"/>
          <w:sz w:val="24"/>
          <w:szCs w:val="24"/>
        </w:rPr>
        <w:t xml:space="preserve">. </w:t>
      </w:r>
    </w:p>
    <w:p w14:paraId="68EA1A97" w14:textId="77777777" w:rsidR="00041C1A" w:rsidRPr="00FC7F23" w:rsidRDefault="00041C1A" w:rsidP="00F91605">
      <w:pPr>
        <w:spacing w:line="360" w:lineRule="auto"/>
        <w:ind w:left="1417"/>
        <w:jc w:val="both"/>
        <w:rPr>
          <w:rFonts w:ascii="Arial" w:hAnsi="Arial" w:cs="Arial"/>
          <w:sz w:val="24"/>
          <w:szCs w:val="24"/>
        </w:rPr>
      </w:pPr>
      <w:r w:rsidRPr="00FC7F23">
        <w:rPr>
          <w:rFonts w:ascii="Arial" w:hAnsi="Arial" w:cs="Arial"/>
          <w:sz w:val="24"/>
          <w:szCs w:val="24"/>
        </w:rPr>
        <w:lastRenderedPageBreak/>
        <w:t xml:space="preserve">This essay intends to cast some light on </w:t>
      </w:r>
      <w:r w:rsidR="008F2F67" w:rsidRPr="00FC7F23">
        <w:rPr>
          <w:rFonts w:ascii="Arial" w:hAnsi="Arial" w:cs="Arial"/>
          <w:sz w:val="24"/>
          <w:szCs w:val="24"/>
        </w:rPr>
        <w:t>five</w:t>
      </w:r>
      <w:r w:rsidRPr="00FC7F23">
        <w:rPr>
          <w:rFonts w:ascii="Arial" w:hAnsi="Arial" w:cs="Arial"/>
          <w:sz w:val="24"/>
          <w:szCs w:val="24"/>
        </w:rPr>
        <w:t xml:space="preserve"> issues. </w:t>
      </w:r>
      <w:r w:rsidR="008E3575" w:rsidRPr="00FC7F23">
        <w:rPr>
          <w:rFonts w:ascii="Arial" w:hAnsi="Arial" w:cs="Arial"/>
          <w:sz w:val="24"/>
          <w:szCs w:val="24"/>
        </w:rPr>
        <w:t>First</w:t>
      </w:r>
      <w:r w:rsidRPr="00FC7F23">
        <w:rPr>
          <w:rFonts w:ascii="Arial" w:hAnsi="Arial" w:cs="Arial"/>
          <w:sz w:val="24"/>
          <w:szCs w:val="24"/>
        </w:rPr>
        <w:t xml:space="preserve">, it </w:t>
      </w:r>
      <w:r w:rsidR="00902528" w:rsidRPr="00FC7F23">
        <w:rPr>
          <w:rFonts w:ascii="Arial" w:hAnsi="Arial" w:cs="Arial"/>
          <w:sz w:val="24"/>
          <w:szCs w:val="24"/>
        </w:rPr>
        <w:t>describes</w:t>
      </w:r>
      <w:r w:rsidRPr="00FC7F23">
        <w:rPr>
          <w:rFonts w:ascii="Arial" w:hAnsi="Arial" w:cs="Arial"/>
          <w:sz w:val="24"/>
          <w:szCs w:val="24"/>
        </w:rPr>
        <w:t xml:space="preserve"> the statutory provisions which set out the aforementioned powers, addressing their chronology</w:t>
      </w:r>
      <w:r w:rsidR="00902528" w:rsidRPr="00FC7F23">
        <w:rPr>
          <w:rFonts w:ascii="Arial" w:hAnsi="Arial" w:cs="Arial"/>
          <w:sz w:val="24"/>
          <w:szCs w:val="24"/>
        </w:rPr>
        <w:t xml:space="preserve"> and defining their scope</w:t>
      </w:r>
      <w:r w:rsidRPr="00FC7F23">
        <w:rPr>
          <w:rFonts w:ascii="Arial" w:hAnsi="Arial" w:cs="Arial"/>
          <w:sz w:val="24"/>
          <w:szCs w:val="24"/>
        </w:rPr>
        <w:t xml:space="preserve">. </w:t>
      </w:r>
      <w:r w:rsidR="008F2F67" w:rsidRPr="00FC7F23">
        <w:rPr>
          <w:rFonts w:ascii="Arial" w:hAnsi="Arial" w:cs="Arial"/>
          <w:sz w:val="24"/>
          <w:szCs w:val="24"/>
        </w:rPr>
        <w:t>Secondly</w:t>
      </w:r>
      <w:r w:rsidRPr="00FC7F23">
        <w:rPr>
          <w:rFonts w:ascii="Arial" w:hAnsi="Arial" w:cs="Arial"/>
          <w:sz w:val="24"/>
          <w:szCs w:val="24"/>
        </w:rPr>
        <w:t>, it means to juxtapose the approaches that domestic and European courts have taken</w:t>
      </w:r>
      <w:r w:rsidR="00306612" w:rsidRPr="00FC7F23">
        <w:rPr>
          <w:rFonts w:ascii="Arial" w:hAnsi="Arial" w:cs="Arial"/>
          <w:sz w:val="24"/>
          <w:szCs w:val="24"/>
        </w:rPr>
        <w:t xml:space="preserve"> trying to draw a balance between counter-terrorism and human rights</w:t>
      </w:r>
      <w:r w:rsidRPr="00FC7F23">
        <w:rPr>
          <w:rFonts w:ascii="Arial" w:hAnsi="Arial" w:cs="Arial"/>
          <w:sz w:val="24"/>
          <w:szCs w:val="24"/>
        </w:rPr>
        <w:t xml:space="preserve">. </w:t>
      </w:r>
      <w:r w:rsidR="00710776" w:rsidRPr="00FC7F23">
        <w:rPr>
          <w:rFonts w:ascii="Arial" w:hAnsi="Arial" w:cs="Arial"/>
          <w:sz w:val="24"/>
          <w:szCs w:val="24"/>
        </w:rPr>
        <w:t>Thirdly</w:t>
      </w:r>
      <w:r w:rsidRPr="00FC7F23">
        <w:rPr>
          <w:rFonts w:ascii="Arial" w:hAnsi="Arial" w:cs="Arial"/>
          <w:sz w:val="24"/>
          <w:szCs w:val="24"/>
        </w:rPr>
        <w:t xml:space="preserve">, it </w:t>
      </w:r>
      <w:r w:rsidR="00907191" w:rsidRPr="00FC7F23">
        <w:rPr>
          <w:rFonts w:ascii="Arial" w:hAnsi="Arial" w:cs="Arial"/>
          <w:sz w:val="24"/>
          <w:szCs w:val="24"/>
        </w:rPr>
        <w:t xml:space="preserve">presents the </w:t>
      </w:r>
      <w:r w:rsidR="00E969AF" w:rsidRPr="00FC7F23">
        <w:rPr>
          <w:rFonts w:ascii="Arial" w:hAnsi="Arial" w:cs="Arial"/>
          <w:sz w:val="24"/>
          <w:szCs w:val="24"/>
        </w:rPr>
        <w:t>criticism</w:t>
      </w:r>
      <w:r w:rsidR="002E45D7" w:rsidRPr="00FC7F23">
        <w:rPr>
          <w:rFonts w:ascii="Arial" w:hAnsi="Arial" w:cs="Arial"/>
          <w:sz w:val="24"/>
          <w:szCs w:val="24"/>
        </w:rPr>
        <w:t>s</w:t>
      </w:r>
      <w:r w:rsidR="00907191" w:rsidRPr="00FC7F23">
        <w:rPr>
          <w:rFonts w:ascii="Arial" w:hAnsi="Arial" w:cs="Arial"/>
          <w:sz w:val="24"/>
          <w:szCs w:val="24"/>
        </w:rPr>
        <w:t xml:space="preserve">, particularly focusing on </w:t>
      </w:r>
      <w:r w:rsidR="00326EBB" w:rsidRPr="00FC7F23">
        <w:rPr>
          <w:rFonts w:ascii="Arial" w:hAnsi="Arial" w:cs="Arial"/>
          <w:sz w:val="24"/>
          <w:szCs w:val="24"/>
        </w:rPr>
        <w:t>the</w:t>
      </w:r>
      <w:r w:rsidR="004D7923" w:rsidRPr="00FC7F23">
        <w:rPr>
          <w:rFonts w:ascii="Arial" w:hAnsi="Arial" w:cs="Arial"/>
          <w:sz w:val="24"/>
          <w:szCs w:val="24"/>
        </w:rPr>
        <w:t xml:space="preserve"> ambiguous</w:t>
      </w:r>
      <w:r w:rsidR="00907191" w:rsidRPr="00FC7F23">
        <w:rPr>
          <w:rFonts w:ascii="Arial" w:hAnsi="Arial" w:cs="Arial"/>
          <w:sz w:val="24"/>
          <w:szCs w:val="24"/>
        </w:rPr>
        <w:t xml:space="preserve"> </w:t>
      </w:r>
      <w:r w:rsidRPr="00FC7F23">
        <w:rPr>
          <w:rFonts w:ascii="Arial" w:hAnsi="Arial" w:cs="Arial"/>
          <w:sz w:val="24"/>
          <w:szCs w:val="24"/>
        </w:rPr>
        <w:t xml:space="preserve">relationship between the police and </w:t>
      </w:r>
      <w:r w:rsidR="00326EBB" w:rsidRPr="00FC7F23">
        <w:rPr>
          <w:rFonts w:ascii="Arial" w:hAnsi="Arial" w:cs="Arial"/>
          <w:sz w:val="24"/>
          <w:szCs w:val="24"/>
        </w:rPr>
        <w:t>some communities</w:t>
      </w:r>
      <w:r w:rsidR="00C713BF" w:rsidRPr="00FC7F23">
        <w:rPr>
          <w:rFonts w:ascii="Arial" w:hAnsi="Arial" w:cs="Arial"/>
          <w:sz w:val="24"/>
          <w:szCs w:val="24"/>
        </w:rPr>
        <w:t xml:space="preserve">. </w:t>
      </w:r>
      <w:r w:rsidR="00710776" w:rsidRPr="00FC7F23">
        <w:rPr>
          <w:rFonts w:ascii="Arial" w:hAnsi="Arial" w:cs="Arial"/>
          <w:sz w:val="24"/>
          <w:szCs w:val="24"/>
        </w:rPr>
        <w:t>Fourthly,</w:t>
      </w:r>
      <w:r w:rsidR="00BE3EBA" w:rsidRPr="00FC7F23">
        <w:rPr>
          <w:rFonts w:ascii="Arial" w:hAnsi="Arial" w:cs="Arial"/>
          <w:sz w:val="24"/>
          <w:szCs w:val="24"/>
        </w:rPr>
        <w:t xml:space="preserve"> it</w:t>
      </w:r>
      <w:r w:rsidR="00C713BF" w:rsidRPr="00FC7F23">
        <w:rPr>
          <w:rFonts w:ascii="Arial" w:hAnsi="Arial" w:cs="Arial"/>
          <w:sz w:val="24"/>
          <w:szCs w:val="24"/>
        </w:rPr>
        <w:t xml:space="preserve"> </w:t>
      </w:r>
      <w:r w:rsidR="00920F96" w:rsidRPr="00FC7F23">
        <w:rPr>
          <w:rFonts w:ascii="Arial" w:hAnsi="Arial" w:cs="Arial"/>
          <w:sz w:val="24"/>
          <w:szCs w:val="24"/>
        </w:rPr>
        <w:t xml:space="preserve">deals with </w:t>
      </w:r>
      <w:r w:rsidR="00C713BF" w:rsidRPr="00FC7F23">
        <w:rPr>
          <w:rFonts w:ascii="Arial" w:hAnsi="Arial" w:cs="Arial"/>
          <w:sz w:val="24"/>
          <w:szCs w:val="24"/>
        </w:rPr>
        <w:t>the concept of intuition</w:t>
      </w:r>
      <w:r w:rsidR="00A87CD3" w:rsidRPr="00FC7F23">
        <w:rPr>
          <w:rFonts w:ascii="Arial" w:hAnsi="Arial" w:cs="Arial"/>
          <w:sz w:val="24"/>
          <w:szCs w:val="24"/>
        </w:rPr>
        <w:t>, suggesting that it is the cornerstone of reasonable thinking</w:t>
      </w:r>
      <w:r w:rsidR="00C713BF" w:rsidRPr="00FC7F23">
        <w:rPr>
          <w:rFonts w:ascii="Arial" w:hAnsi="Arial" w:cs="Arial"/>
          <w:sz w:val="24"/>
          <w:szCs w:val="24"/>
        </w:rPr>
        <w:t xml:space="preserve">. </w:t>
      </w:r>
      <w:r w:rsidR="00710776" w:rsidRPr="00FC7F23">
        <w:rPr>
          <w:rFonts w:ascii="Arial" w:hAnsi="Arial" w:cs="Arial"/>
          <w:sz w:val="24"/>
          <w:szCs w:val="24"/>
        </w:rPr>
        <w:t>Fifthly</w:t>
      </w:r>
      <w:r w:rsidR="00920F96" w:rsidRPr="00FC7F23">
        <w:rPr>
          <w:rFonts w:ascii="Arial" w:hAnsi="Arial" w:cs="Arial"/>
          <w:sz w:val="24"/>
          <w:szCs w:val="24"/>
        </w:rPr>
        <w:t xml:space="preserve">, it illustrates the </w:t>
      </w:r>
      <w:r w:rsidR="00B02C0D" w:rsidRPr="00FC7F23">
        <w:rPr>
          <w:rFonts w:ascii="Arial" w:hAnsi="Arial" w:cs="Arial"/>
          <w:sz w:val="24"/>
          <w:szCs w:val="24"/>
        </w:rPr>
        <w:t xml:space="preserve">government’s </w:t>
      </w:r>
      <w:r w:rsidR="0097660B" w:rsidRPr="00FC7F23">
        <w:rPr>
          <w:rFonts w:ascii="Arial" w:hAnsi="Arial" w:cs="Arial"/>
          <w:sz w:val="24"/>
          <w:szCs w:val="24"/>
        </w:rPr>
        <w:t xml:space="preserve">course of action </w:t>
      </w:r>
      <w:r w:rsidR="00B02C0D" w:rsidRPr="00FC7F23">
        <w:rPr>
          <w:rFonts w:ascii="Arial" w:hAnsi="Arial" w:cs="Arial"/>
          <w:sz w:val="24"/>
          <w:szCs w:val="24"/>
        </w:rPr>
        <w:t>and compares</w:t>
      </w:r>
      <w:r w:rsidR="0097660B" w:rsidRPr="00FC7F23">
        <w:rPr>
          <w:rFonts w:ascii="Arial" w:hAnsi="Arial" w:cs="Arial"/>
          <w:sz w:val="24"/>
          <w:szCs w:val="24"/>
        </w:rPr>
        <w:t xml:space="preserve"> it with the </w:t>
      </w:r>
      <w:r w:rsidR="00B02C0D" w:rsidRPr="00FC7F23">
        <w:rPr>
          <w:rFonts w:ascii="Arial" w:hAnsi="Arial" w:cs="Arial"/>
          <w:sz w:val="24"/>
          <w:szCs w:val="24"/>
        </w:rPr>
        <w:t>European response to terrorism, discussing what can still be improved. Finally,</w:t>
      </w:r>
      <w:r w:rsidR="00BC576A" w:rsidRPr="00FC7F23">
        <w:rPr>
          <w:rFonts w:ascii="Arial" w:hAnsi="Arial" w:cs="Arial"/>
          <w:sz w:val="24"/>
          <w:szCs w:val="24"/>
        </w:rPr>
        <w:t xml:space="preserve"> </w:t>
      </w:r>
      <w:r w:rsidR="00B02C0D" w:rsidRPr="00FC7F23">
        <w:rPr>
          <w:rFonts w:ascii="Arial" w:hAnsi="Arial" w:cs="Arial"/>
          <w:sz w:val="24"/>
          <w:szCs w:val="24"/>
        </w:rPr>
        <w:t>this essay evaluates stop and search powers supporting</w:t>
      </w:r>
      <w:r w:rsidRPr="00FC7F23">
        <w:rPr>
          <w:rFonts w:ascii="Arial" w:hAnsi="Arial" w:cs="Arial"/>
          <w:sz w:val="24"/>
          <w:szCs w:val="24"/>
        </w:rPr>
        <w:t xml:space="preserve"> the view </w:t>
      </w:r>
      <w:r w:rsidR="00BA3E80" w:rsidRPr="00FC7F23">
        <w:rPr>
          <w:rFonts w:ascii="Arial" w:hAnsi="Arial" w:cs="Arial"/>
          <w:sz w:val="24"/>
          <w:szCs w:val="24"/>
        </w:rPr>
        <w:t>that they can be more effective</w:t>
      </w:r>
      <w:r w:rsidRPr="00FC7F23">
        <w:rPr>
          <w:rFonts w:ascii="Arial" w:hAnsi="Arial" w:cs="Arial"/>
          <w:sz w:val="24"/>
          <w:szCs w:val="24"/>
        </w:rPr>
        <w:t xml:space="preserve"> as long as officers </w:t>
      </w:r>
      <w:r w:rsidR="00242AA6" w:rsidRPr="00FC7F23">
        <w:rPr>
          <w:rFonts w:ascii="Arial" w:hAnsi="Arial" w:cs="Arial"/>
          <w:sz w:val="24"/>
          <w:szCs w:val="24"/>
        </w:rPr>
        <w:t>focus on intuition while</w:t>
      </w:r>
      <w:r w:rsidR="00BA3E80" w:rsidRPr="00FC7F23">
        <w:rPr>
          <w:rFonts w:ascii="Arial" w:hAnsi="Arial" w:cs="Arial"/>
          <w:sz w:val="24"/>
          <w:szCs w:val="24"/>
        </w:rPr>
        <w:t xml:space="preserve"> bearing in mind human rights.</w:t>
      </w:r>
    </w:p>
    <w:p w14:paraId="780AF383" w14:textId="77777777" w:rsidR="00041C1A" w:rsidRPr="00495F14" w:rsidRDefault="00041C1A" w:rsidP="00F91605">
      <w:pPr>
        <w:spacing w:line="360" w:lineRule="auto"/>
        <w:ind w:left="1417"/>
        <w:jc w:val="both"/>
        <w:rPr>
          <w:rFonts w:ascii="Arial" w:hAnsi="Arial" w:cs="Arial"/>
          <w:sz w:val="24"/>
          <w:szCs w:val="24"/>
        </w:rPr>
      </w:pPr>
    </w:p>
    <w:p w14:paraId="572CCE91" w14:textId="77777777" w:rsidR="0056720B" w:rsidRPr="00495F14" w:rsidRDefault="00041C1A" w:rsidP="00F91605">
      <w:pPr>
        <w:spacing w:after="0" w:line="360" w:lineRule="auto"/>
        <w:ind w:left="1417"/>
        <w:jc w:val="both"/>
        <w:rPr>
          <w:rFonts w:ascii="Arial" w:hAnsi="Arial" w:cs="Arial"/>
          <w:sz w:val="24"/>
          <w:szCs w:val="24"/>
        </w:rPr>
      </w:pPr>
      <w:r w:rsidRPr="00495F14">
        <w:rPr>
          <w:rFonts w:ascii="Arial" w:hAnsi="Arial" w:cs="Arial"/>
          <w:sz w:val="24"/>
          <w:szCs w:val="24"/>
        </w:rPr>
        <w:t xml:space="preserve">Stop and search powers are distributed in several acts, including </w:t>
      </w:r>
      <w:r w:rsidRPr="00BD2A74">
        <w:rPr>
          <w:rFonts w:ascii="Arial" w:hAnsi="Arial" w:cs="Arial"/>
          <w:sz w:val="24"/>
          <w:szCs w:val="24"/>
        </w:rPr>
        <w:t xml:space="preserve">the </w:t>
      </w:r>
      <w:r w:rsidRPr="00BD2A74">
        <w:rPr>
          <w:rFonts w:ascii="Arial" w:hAnsi="Arial" w:cs="Arial"/>
          <w:i/>
          <w:sz w:val="24"/>
          <w:szCs w:val="24"/>
          <w:u w:val="single"/>
        </w:rPr>
        <w:t>Police and Criminal Evidence Act (PACE) 1984</w:t>
      </w:r>
      <w:r w:rsidRPr="00BD2A74">
        <w:rPr>
          <w:rStyle w:val="FootnoteReference"/>
          <w:rFonts w:ascii="Arial" w:hAnsi="Arial" w:cs="Arial"/>
          <w:sz w:val="24"/>
          <w:szCs w:val="24"/>
        </w:rPr>
        <w:footnoteReference w:id="5"/>
      </w:r>
      <w:r w:rsidRPr="00BD2A74">
        <w:rPr>
          <w:rFonts w:ascii="Arial" w:hAnsi="Arial" w:cs="Arial"/>
          <w:sz w:val="24"/>
          <w:szCs w:val="24"/>
        </w:rPr>
        <w:t xml:space="preserve">, the </w:t>
      </w:r>
      <w:r w:rsidRPr="00BD2A74">
        <w:rPr>
          <w:rFonts w:ascii="Arial" w:hAnsi="Arial" w:cs="Arial"/>
          <w:i/>
          <w:sz w:val="24"/>
          <w:szCs w:val="24"/>
          <w:u w:val="single"/>
        </w:rPr>
        <w:t>Misuse of Drugs Act 1971</w:t>
      </w:r>
      <w:r w:rsidRPr="00BD2A74">
        <w:rPr>
          <w:rStyle w:val="FootnoteReference"/>
          <w:rFonts w:ascii="Arial" w:hAnsi="Arial" w:cs="Arial"/>
          <w:sz w:val="24"/>
          <w:szCs w:val="24"/>
        </w:rPr>
        <w:footnoteReference w:id="6"/>
      </w:r>
      <w:r w:rsidRPr="00BD2A74">
        <w:rPr>
          <w:rFonts w:ascii="Arial" w:hAnsi="Arial" w:cs="Arial"/>
          <w:sz w:val="24"/>
          <w:szCs w:val="24"/>
        </w:rPr>
        <w:t xml:space="preserve">, the </w:t>
      </w:r>
      <w:r w:rsidRPr="00BD2A74">
        <w:rPr>
          <w:rFonts w:ascii="Arial" w:hAnsi="Arial" w:cs="Arial"/>
          <w:i/>
          <w:sz w:val="24"/>
          <w:szCs w:val="24"/>
          <w:u w:val="single"/>
        </w:rPr>
        <w:t>Criminal Justice and Public Order Act (CJPO</w:t>
      </w:r>
      <w:r w:rsidR="00A74811" w:rsidRPr="00BD2A74">
        <w:rPr>
          <w:rFonts w:ascii="Arial" w:hAnsi="Arial" w:cs="Arial"/>
          <w:i/>
          <w:sz w:val="24"/>
          <w:szCs w:val="24"/>
          <w:u w:val="single"/>
        </w:rPr>
        <w:t>A</w:t>
      </w:r>
      <w:r w:rsidRPr="00BD2A74">
        <w:rPr>
          <w:rFonts w:ascii="Arial" w:hAnsi="Arial" w:cs="Arial"/>
          <w:i/>
          <w:sz w:val="24"/>
          <w:szCs w:val="24"/>
          <w:u w:val="single"/>
        </w:rPr>
        <w:t>) 1994</w:t>
      </w:r>
      <w:r w:rsidRPr="00BD2A74">
        <w:rPr>
          <w:rStyle w:val="FootnoteReference"/>
          <w:rFonts w:ascii="Arial" w:hAnsi="Arial" w:cs="Arial"/>
          <w:sz w:val="24"/>
          <w:szCs w:val="24"/>
        </w:rPr>
        <w:footnoteReference w:id="7"/>
      </w:r>
      <w:r w:rsidRPr="00BD2A74">
        <w:rPr>
          <w:rFonts w:ascii="Arial" w:hAnsi="Arial" w:cs="Arial"/>
          <w:sz w:val="24"/>
          <w:szCs w:val="24"/>
        </w:rPr>
        <w:t xml:space="preserve"> and the </w:t>
      </w:r>
      <w:r w:rsidRPr="00BD2A74">
        <w:rPr>
          <w:rFonts w:ascii="Arial" w:hAnsi="Arial" w:cs="Arial"/>
          <w:i/>
          <w:sz w:val="24"/>
          <w:szCs w:val="24"/>
          <w:u w:val="single"/>
        </w:rPr>
        <w:t>Terrorism Acts 2000</w:t>
      </w:r>
      <w:r w:rsidRPr="00BD2A74">
        <w:rPr>
          <w:rStyle w:val="FootnoteReference"/>
          <w:rFonts w:ascii="Arial" w:hAnsi="Arial" w:cs="Arial"/>
          <w:sz w:val="24"/>
          <w:szCs w:val="24"/>
        </w:rPr>
        <w:footnoteReference w:id="8"/>
      </w:r>
      <w:r w:rsidRPr="00BD2A74">
        <w:rPr>
          <w:rFonts w:ascii="Arial" w:hAnsi="Arial" w:cs="Arial"/>
          <w:sz w:val="24"/>
          <w:szCs w:val="24"/>
        </w:rPr>
        <w:t xml:space="preserve"> and </w:t>
      </w:r>
      <w:r w:rsidRPr="00BD2A74">
        <w:rPr>
          <w:rFonts w:ascii="Arial" w:hAnsi="Arial" w:cs="Arial"/>
          <w:i/>
          <w:sz w:val="24"/>
          <w:szCs w:val="24"/>
          <w:u w:val="single"/>
        </w:rPr>
        <w:t>2006</w:t>
      </w:r>
      <w:r w:rsidRPr="00BD2A74">
        <w:rPr>
          <w:rStyle w:val="FootnoteReference"/>
          <w:rFonts w:ascii="Arial" w:hAnsi="Arial" w:cs="Arial"/>
          <w:sz w:val="24"/>
          <w:szCs w:val="24"/>
        </w:rPr>
        <w:footnoteReference w:id="9"/>
      </w:r>
      <w:r w:rsidRPr="00BD2A74">
        <w:rPr>
          <w:rFonts w:ascii="Arial" w:hAnsi="Arial" w:cs="Arial"/>
          <w:sz w:val="24"/>
          <w:szCs w:val="24"/>
        </w:rPr>
        <w:t>.</w:t>
      </w:r>
      <w:r w:rsidRPr="00495F14">
        <w:rPr>
          <w:rFonts w:ascii="Arial" w:hAnsi="Arial" w:cs="Arial"/>
          <w:sz w:val="24"/>
          <w:szCs w:val="24"/>
        </w:rPr>
        <w:t xml:space="preserve"> </w:t>
      </w:r>
      <w:r w:rsidR="00857BAE">
        <w:rPr>
          <w:rFonts w:ascii="Arial" w:hAnsi="Arial" w:cs="Arial"/>
          <w:sz w:val="24"/>
          <w:szCs w:val="24"/>
        </w:rPr>
        <w:t xml:space="preserve">The objective of these provisions was to </w:t>
      </w:r>
      <w:r w:rsidR="005B7703">
        <w:rPr>
          <w:rFonts w:ascii="Arial" w:hAnsi="Arial" w:cs="Arial"/>
          <w:sz w:val="24"/>
          <w:szCs w:val="24"/>
        </w:rPr>
        <w:t>enable</w:t>
      </w:r>
      <w:r w:rsidR="00857BAE">
        <w:rPr>
          <w:rFonts w:ascii="Arial" w:hAnsi="Arial" w:cs="Arial"/>
          <w:sz w:val="24"/>
          <w:szCs w:val="24"/>
        </w:rPr>
        <w:t xml:space="preserve"> </w:t>
      </w:r>
      <w:r w:rsidR="006355DE">
        <w:rPr>
          <w:rFonts w:ascii="Arial" w:hAnsi="Arial" w:cs="Arial"/>
          <w:sz w:val="24"/>
          <w:szCs w:val="24"/>
        </w:rPr>
        <w:t>the police</w:t>
      </w:r>
      <w:r w:rsidR="00857BAE">
        <w:rPr>
          <w:rFonts w:ascii="Arial" w:hAnsi="Arial" w:cs="Arial"/>
          <w:sz w:val="24"/>
          <w:szCs w:val="24"/>
        </w:rPr>
        <w:t xml:space="preserve"> to </w:t>
      </w:r>
      <w:r w:rsidR="003F7A27">
        <w:rPr>
          <w:rFonts w:ascii="Arial" w:hAnsi="Arial" w:cs="Arial"/>
          <w:sz w:val="24"/>
          <w:szCs w:val="24"/>
        </w:rPr>
        <w:t>check</w:t>
      </w:r>
      <w:r w:rsidR="00857BAE">
        <w:rPr>
          <w:rFonts w:ascii="Arial" w:hAnsi="Arial" w:cs="Arial"/>
          <w:sz w:val="24"/>
          <w:szCs w:val="24"/>
        </w:rPr>
        <w:t xml:space="preserve"> whether people were </w:t>
      </w:r>
      <w:r w:rsidR="005B7703">
        <w:rPr>
          <w:rFonts w:ascii="Arial" w:hAnsi="Arial" w:cs="Arial"/>
          <w:sz w:val="24"/>
          <w:szCs w:val="24"/>
        </w:rPr>
        <w:t>acting unlawfully</w:t>
      </w:r>
      <w:r w:rsidR="00857BAE">
        <w:rPr>
          <w:rFonts w:ascii="Arial" w:hAnsi="Arial" w:cs="Arial"/>
          <w:sz w:val="24"/>
          <w:szCs w:val="24"/>
        </w:rPr>
        <w:t xml:space="preserve"> without having to make an arrest</w:t>
      </w:r>
      <w:r w:rsidR="00332C2A">
        <w:rPr>
          <w:rStyle w:val="FootnoteReference"/>
          <w:rFonts w:ascii="Arial" w:hAnsi="Arial" w:cs="Arial"/>
          <w:sz w:val="24"/>
          <w:szCs w:val="24"/>
        </w:rPr>
        <w:footnoteReference w:id="10"/>
      </w:r>
      <w:r w:rsidR="00857BAE">
        <w:rPr>
          <w:rFonts w:ascii="Arial" w:hAnsi="Arial" w:cs="Arial"/>
          <w:sz w:val="24"/>
          <w:szCs w:val="24"/>
        </w:rPr>
        <w:t xml:space="preserve">. </w:t>
      </w:r>
      <w:r w:rsidRPr="00495F14">
        <w:rPr>
          <w:rFonts w:ascii="Arial" w:hAnsi="Arial" w:cs="Arial"/>
          <w:sz w:val="24"/>
          <w:szCs w:val="24"/>
        </w:rPr>
        <w:t>The former two allocate stop and sear</w:t>
      </w:r>
      <w:r w:rsidR="0047096F">
        <w:rPr>
          <w:rFonts w:ascii="Arial" w:hAnsi="Arial" w:cs="Arial"/>
          <w:sz w:val="24"/>
          <w:szCs w:val="24"/>
        </w:rPr>
        <w:t xml:space="preserve">ch powers to officers who have </w:t>
      </w:r>
      <w:r w:rsidRPr="0047096F">
        <w:rPr>
          <w:rFonts w:ascii="Arial" w:hAnsi="Arial" w:cs="Arial"/>
          <w:sz w:val="24"/>
          <w:szCs w:val="24"/>
        </w:rPr>
        <w:t xml:space="preserve">reasonable grounds to suspect that a person is in possession </w:t>
      </w:r>
      <w:r w:rsidR="0047096F">
        <w:rPr>
          <w:rFonts w:ascii="Arial" w:hAnsi="Arial" w:cs="Arial"/>
          <w:sz w:val="24"/>
          <w:szCs w:val="24"/>
        </w:rPr>
        <w:t>of stolen or prohibited articles</w:t>
      </w:r>
      <w:r w:rsidR="00F80AE3" w:rsidRPr="00495F14">
        <w:rPr>
          <w:rStyle w:val="FootnoteReference"/>
          <w:rFonts w:ascii="Arial" w:hAnsi="Arial" w:cs="Arial"/>
          <w:sz w:val="24"/>
          <w:szCs w:val="24"/>
        </w:rPr>
        <w:footnoteReference w:id="11"/>
      </w:r>
      <w:r w:rsidRPr="00495F14">
        <w:rPr>
          <w:rFonts w:ascii="Arial" w:hAnsi="Arial" w:cs="Arial"/>
          <w:sz w:val="24"/>
          <w:szCs w:val="24"/>
        </w:rPr>
        <w:t xml:space="preserve">, while the latter two grant the same powers to policemen who reasonably believe that the suspect is a terrorist, as expressed </w:t>
      </w:r>
      <w:r w:rsidR="00C73060">
        <w:rPr>
          <w:rFonts w:ascii="Arial" w:hAnsi="Arial" w:cs="Arial"/>
          <w:sz w:val="24"/>
          <w:szCs w:val="24"/>
        </w:rPr>
        <w:t>by</w:t>
      </w:r>
      <w:r w:rsidRPr="00495F14">
        <w:rPr>
          <w:rFonts w:ascii="Arial" w:hAnsi="Arial" w:cs="Arial"/>
          <w:sz w:val="24"/>
          <w:szCs w:val="24"/>
        </w:rPr>
        <w:t xml:space="preserve"> section 43</w:t>
      </w:r>
      <w:r w:rsidR="00EE085E" w:rsidRPr="00495F14">
        <w:rPr>
          <w:rStyle w:val="FootnoteReference"/>
          <w:rFonts w:ascii="Arial" w:hAnsi="Arial" w:cs="Arial"/>
          <w:sz w:val="24"/>
          <w:szCs w:val="24"/>
        </w:rPr>
        <w:footnoteReference w:id="12"/>
      </w:r>
      <w:r w:rsidR="00D45F6A" w:rsidRPr="00495F14">
        <w:rPr>
          <w:rFonts w:ascii="Arial" w:hAnsi="Arial" w:cs="Arial"/>
          <w:sz w:val="24"/>
          <w:szCs w:val="24"/>
        </w:rPr>
        <w:t>.</w:t>
      </w:r>
      <w:r w:rsidR="00C117AB">
        <w:rPr>
          <w:rFonts w:ascii="Arial" w:hAnsi="Arial" w:cs="Arial"/>
          <w:sz w:val="24"/>
          <w:szCs w:val="24"/>
        </w:rPr>
        <w:t xml:space="preserve"> </w:t>
      </w:r>
      <w:r w:rsidR="00E3377E">
        <w:rPr>
          <w:rFonts w:ascii="Arial" w:hAnsi="Arial" w:cs="Arial"/>
          <w:sz w:val="24"/>
          <w:szCs w:val="24"/>
        </w:rPr>
        <w:t xml:space="preserve">The </w:t>
      </w:r>
      <w:r w:rsidRPr="00495F14">
        <w:rPr>
          <w:rFonts w:ascii="Arial" w:hAnsi="Arial" w:cs="Arial"/>
          <w:i/>
          <w:sz w:val="24"/>
          <w:szCs w:val="24"/>
          <w:u w:val="single"/>
        </w:rPr>
        <w:t>CJPO</w:t>
      </w:r>
      <w:r w:rsidR="002F7897">
        <w:rPr>
          <w:rFonts w:ascii="Arial" w:hAnsi="Arial" w:cs="Arial"/>
          <w:i/>
          <w:sz w:val="24"/>
          <w:szCs w:val="24"/>
          <w:u w:val="single"/>
        </w:rPr>
        <w:t>A</w:t>
      </w:r>
      <w:r w:rsidR="00AC5C68" w:rsidRPr="00E3377E">
        <w:rPr>
          <w:rFonts w:ascii="Arial" w:hAnsi="Arial" w:cs="Arial"/>
          <w:sz w:val="24"/>
          <w:szCs w:val="24"/>
          <w:u w:val="single"/>
        </w:rPr>
        <w:t xml:space="preserve"> </w:t>
      </w:r>
      <w:r w:rsidR="00AC5C68" w:rsidRPr="00495F14">
        <w:rPr>
          <w:rFonts w:ascii="Arial" w:hAnsi="Arial" w:cs="Arial"/>
          <w:i/>
          <w:sz w:val="24"/>
          <w:szCs w:val="24"/>
          <w:u w:val="single"/>
        </w:rPr>
        <w:t>1994</w:t>
      </w:r>
      <w:r w:rsidR="00FE1875">
        <w:rPr>
          <w:rStyle w:val="FootnoteReference"/>
          <w:rFonts w:ascii="Arial" w:hAnsi="Arial" w:cs="Arial"/>
          <w:i/>
          <w:sz w:val="24"/>
          <w:szCs w:val="24"/>
          <w:u w:val="single"/>
        </w:rPr>
        <w:footnoteReference w:id="13"/>
      </w:r>
      <w:r w:rsidR="00C117AB">
        <w:rPr>
          <w:rFonts w:ascii="Arial" w:hAnsi="Arial" w:cs="Arial"/>
          <w:i/>
          <w:sz w:val="24"/>
          <w:szCs w:val="24"/>
          <w:u w:val="single"/>
        </w:rPr>
        <w:t>,</w:t>
      </w:r>
      <w:r w:rsidR="00C117AB" w:rsidRPr="00C117AB">
        <w:rPr>
          <w:rFonts w:ascii="Arial" w:hAnsi="Arial" w:cs="Arial"/>
          <w:sz w:val="24"/>
          <w:szCs w:val="24"/>
        </w:rPr>
        <w:t xml:space="preserve"> </w:t>
      </w:r>
      <w:r w:rsidR="00052811">
        <w:rPr>
          <w:rFonts w:ascii="Arial" w:hAnsi="Arial" w:cs="Arial"/>
          <w:sz w:val="24"/>
          <w:szCs w:val="24"/>
        </w:rPr>
        <w:t>by contrast</w:t>
      </w:r>
      <w:r w:rsidR="00C117AB" w:rsidRPr="00C117AB">
        <w:rPr>
          <w:rFonts w:ascii="Arial" w:hAnsi="Arial" w:cs="Arial"/>
          <w:sz w:val="24"/>
          <w:szCs w:val="24"/>
        </w:rPr>
        <w:t>,</w:t>
      </w:r>
      <w:r w:rsidRPr="00495F14">
        <w:rPr>
          <w:rFonts w:ascii="Arial" w:hAnsi="Arial" w:cs="Arial"/>
          <w:sz w:val="24"/>
          <w:szCs w:val="24"/>
        </w:rPr>
        <w:t xml:space="preserve"> empowers an inspector or an officer of higher rank to authorise stop</w:t>
      </w:r>
      <w:r w:rsidR="00106708">
        <w:rPr>
          <w:rFonts w:ascii="Arial" w:hAnsi="Arial" w:cs="Arial"/>
          <w:sz w:val="24"/>
          <w:szCs w:val="24"/>
        </w:rPr>
        <w:t>s</w:t>
      </w:r>
      <w:r w:rsidRPr="00495F14">
        <w:rPr>
          <w:rFonts w:ascii="Arial" w:hAnsi="Arial" w:cs="Arial"/>
          <w:sz w:val="24"/>
          <w:szCs w:val="24"/>
        </w:rPr>
        <w:t xml:space="preserve"> and search</w:t>
      </w:r>
      <w:r w:rsidR="00106708">
        <w:rPr>
          <w:rFonts w:ascii="Arial" w:hAnsi="Arial" w:cs="Arial"/>
          <w:sz w:val="24"/>
          <w:szCs w:val="24"/>
        </w:rPr>
        <w:t>es</w:t>
      </w:r>
      <w:r w:rsidRPr="00495F14">
        <w:rPr>
          <w:rFonts w:ascii="Arial" w:hAnsi="Arial" w:cs="Arial"/>
          <w:sz w:val="24"/>
          <w:szCs w:val="24"/>
        </w:rPr>
        <w:t xml:space="preserve"> without </w:t>
      </w:r>
      <w:r w:rsidRPr="00495F14">
        <w:rPr>
          <w:rFonts w:ascii="Arial" w:hAnsi="Arial" w:cs="Arial"/>
          <w:sz w:val="24"/>
          <w:szCs w:val="24"/>
        </w:rPr>
        <w:lastRenderedPageBreak/>
        <w:t>prior suspicion being required</w:t>
      </w:r>
      <w:r w:rsidRPr="00495F14">
        <w:rPr>
          <w:rStyle w:val="FootnoteReference"/>
          <w:rFonts w:ascii="Arial" w:hAnsi="Arial" w:cs="Arial"/>
          <w:sz w:val="24"/>
          <w:szCs w:val="24"/>
        </w:rPr>
        <w:footnoteReference w:id="14"/>
      </w:r>
      <w:r w:rsidRPr="00495F14">
        <w:rPr>
          <w:rFonts w:ascii="Arial" w:hAnsi="Arial" w:cs="Arial"/>
          <w:sz w:val="24"/>
          <w:szCs w:val="24"/>
        </w:rPr>
        <w:t>.</w:t>
      </w:r>
      <w:r w:rsidR="00004A8B" w:rsidRPr="00495F14">
        <w:rPr>
          <w:rFonts w:ascii="Arial" w:hAnsi="Arial" w:cs="Arial"/>
          <w:sz w:val="24"/>
          <w:szCs w:val="24"/>
        </w:rPr>
        <w:t xml:space="preserve"> Similarly, section 44 of the </w:t>
      </w:r>
      <w:r w:rsidR="00004A8B" w:rsidRPr="00495F14">
        <w:rPr>
          <w:rFonts w:ascii="Arial" w:hAnsi="Arial" w:cs="Arial"/>
          <w:i/>
          <w:sz w:val="24"/>
          <w:szCs w:val="24"/>
          <w:u w:val="single"/>
        </w:rPr>
        <w:t>TA</w:t>
      </w:r>
      <w:r w:rsidR="00E3377E">
        <w:rPr>
          <w:rFonts w:ascii="Arial" w:hAnsi="Arial" w:cs="Arial"/>
          <w:i/>
          <w:sz w:val="24"/>
          <w:szCs w:val="24"/>
          <w:u w:val="single"/>
        </w:rPr>
        <w:t xml:space="preserve"> </w:t>
      </w:r>
      <w:r w:rsidR="00004A8B" w:rsidRPr="00495F14">
        <w:rPr>
          <w:rFonts w:ascii="Arial" w:hAnsi="Arial" w:cs="Arial"/>
          <w:i/>
          <w:sz w:val="24"/>
          <w:szCs w:val="24"/>
          <w:u w:val="single"/>
        </w:rPr>
        <w:t>2000</w:t>
      </w:r>
      <w:r w:rsidR="00004A8B" w:rsidRPr="00495F14">
        <w:rPr>
          <w:rFonts w:ascii="Arial" w:hAnsi="Arial" w:cs="Arial"/>
          <w:sz w:val="24"/>
          <w:szCs w:val="24"/>
        </w:rPr>
        <w:t xml:space="preserve">, does not </w:t>
      </w:r>
      <w:r w:rsidR="0076489B" w:rsidRPr="00495F14">
        <w:rPr>
          <w:rFonts w:ascii="Arial" w:hAnsi="Arial" w:cs="Arial"/>
          <w:sz w:val="24"/>
          <w:szCs w:val="24"/>
        </w:rPr>
        <w:t>demand</w:t>
      </w:r>
      <w:r w:rsidR="00004A8B" w:rsidRPr="00495F14">
        <w:rPr>
          <w:rFonts w:ascii="Arial" w:hAnsi="Arial" w:cs="Arial"/>
          <w:sz w:val="24"/>
          <w:szCs w:val="24"/>
        </w:rPr>
        <w:t xml:space="preserve"> reasonable grounds</w:t>
      </w:r>
      <w:r w:rsidR="00327D7B" w:rsidRPr="00495F14">
        <w:rPr>
          <w:rFonts w:ascii="Arial" w:hAnsi="Arial" w:cs="Arial"/>
          <w:sz w:val="24"/>
          <w:szCs w:val="24"/>
        </w:rPr>
        <w:t xml:space="preserve"> to stop and search </w:t>
      </w:r>
      <w:r w:rsidR="00213B54" w:rsidRPr="00495F14">
        <w:rPr>
          <w:rFonts w:ascii="Arial" w:hAnsi="Arial" w:cs="Arial"/>
          <w:sz w:val="24"/>
          <w:szCs w:val="24"/>
        </w:rPr>
        <w:t>potential terrorists</w:t>
      </w:r>
      <w:r w:rsidR="00327D7B" w:rsidRPr="00495F14">
        <w:rPr>
          <w:rStyle w:val="FootnoteReference"/>
          <w:rFonts w:ascii="Arial" w:hAnsi="Arial" w:cs="Arial"/>
          <w:sz w:val="24"/>
          <w:szCs w:val="24"/>
        </w:rPr>
        <w:footnoteReference w:id="15"/>
      </w:r>
      <w:r w:rsidR="00327D7B" w:rsidRPr="00495F14">
        <w:rPr>
          <w:rFonts w:ascii="Arial" w:hAnsi="Arial" w:cs="Arial"/>
          <w:sz w:val="24"/>
          <w:szCs w:val="24"/>
        </w:rPr>
        <w:t>.</w:t>
      </w:r>
      <w:r w:rsidR="00327D7B" w:rsidRPr="00495F14">
        <w:rPr>
          <w:rFonts w:ascii="Arial" w:hAnsi="Arial" w:cs="Arial"/>
          <w:color w:val="FF0000"/>
          <w:sz w:val="24"/>
          <w:szCs w:val="24"/>
        </w:rPr>
        <w:t xml:space="preserve"> </w:t>
      </w:r>
      <w:r w:rsidR="00052811" w:rsidRPr="00495F14">
        <w:rPr>
          <w:rFonts w:ascii="Arial" w:hAnsi="Arial" w:cs="Arial"/>
          <w:sz w:val="24"/>
          <w:szCs w:val="24"/>
        </w:rPr>
        <w:t xml:space="preserve">These pieces of legislation prove that public bodies have responded to crime, particularly to terrorism, </w:t>
      </w:r>
      <w:r w:rsidR="00052811">
        <w:rPr>
          <w:rFonts w:ascii="Arial" w:hAnsi="Arial" w:cs="Arial"/>
          <w:sz w:val="24"/>
          <w:szCs w:val="24"/>
        </w:rPr>
        <w:t>trying to prevent</w:t>
      </w:r>
      <w:r w:rsidR="00052811" w:rsidRPr="00495F14">
        <w:rPr>
          <w:rFonts w:ascii="Arial" w:hAnsi="Arial" w:cs="Arial"/>
          <w:sz w:val="24"/>
          <w:szCs w:val="24"/>
        </w:rPr>
        <w:t xml:space="preserve"> it</w:t>
      </w:r>
      <w:r w:rsidR="00052811" w:rsidRPr="00495F14">
        <w:rPr>
          <w:rStyle w:val="FootnoteReference"/>
          <w:rFonts w:ascii="Arial" w:hAnsi="Arial" w:cs="Arial"/>
          <w:sz w:val="24"/>
          <w:szCs w:val="24"/>
        </w:rPr>
        <w:footnoteReference w:id="16"/>
      </w:r>
      <w:r w:rsidR="00052811" w:rsidRPr="00495F14">
        <w:rPr>
          <w:rFonts w:ascii="Arial" w:hAnsi="Arial" w:cs="Arial"/>
          <w:sz w:val="24"/>
          <w:szCs w:val="24"/>
        </w:rPr>
        <w:t>. The Head of the Anti-Terrorist Branch of the Metropolitan Police, for example, stated that “</w:t>
      </w:r>
      <w:r w:rsidR="00052811" w:rsidRPr="00495F14">
        <w:rPr>
          <w:rFonts w:ascii="Arial" w:hAnsi="Arial" w:cs="Arial"/>
          <w:i/>
          <w:sz w:val="24"/>
          <w:szCs w:val="24"/>
        </w:rPr>
        <w:t>public safety demands earlier intervention</w:t>
      </w:r>
      <w:r w:rsidR="00052811" w:rsidRPr="00495F14">
        <w:rPr>
          <w:rFonts w:ascii="Arial" w:hAnsi="Arial" w:cs="Arial"/>
          <w:sz w:val="24"/>
          <w:szCs w:val="24"/>
        </w:rPr>
        <w:t>”</w:t>
      </w:r>
      <w:r w:rsidR="00052811" w:rsidRPr="00495F14">
        <w:rPr>
          <w:rStyle w:val="FootnoteReference"/>
          <w:rFonts w:ascii="Arial" w:hAnsi="Arial" w:cs="Arial"/>
          <w:sz w:val="24"/>
          <w:szCs w:val="24"/>
        </w:rPr>
        <w:footnoteReference w:id="17"/>
      </w:r>
      <w:r w:rsidR="00052811">
        <w:rPr>
          <w:rFonts w:ascii="Arial" w:hAnsi="Arial" w:cs="Arial"/>
          <w:sz w:val="24"/>
          <w:szCs w:val="24"/>
        </w:rPr>
        <w:t xml:space="preserve">. </w:t>
      </w:r>
      <w:r w:rsidR="00E211B0" w:rsidRPr="00495F14">
        <w:rPr>
          <w:rFonts w:ascii="Arial" w:hAnsi="Arial" w:cs="Arial"/>
          <w:sz w:val="24"/>
          <w:szCs w:val="24"/>
        </w:rPr>
        <w:t>However,</w:t>
      </w:r>
      <w:r w:rsidRPr="00495F14">
        <w:rPr>
          <w:rFonts w:ascii="Arial" w:hAnsi="Arial" w:cs="Arial"/>
          <w:sz w:val="24"/>
          <w:szCs w:val="24"/>
        </w:rPr>
        <w:t xml:space="preserve"> the</w:t>
      </w:r>
      <w:r w:rsidR="00E211B0" w:rsidRPr="00495F14">
        <w:rPr>
          <w:rFonts w:ascii="Arial" w:hAnsi="Arial" w:cs="Arial"/>
          <w:sz w:val="24"/>
          <w:szCs w:val="24"/>
        </w:rPr>
        <w:t>se</w:t>
      </w:r>
      <w:r w:rsidRPr="00495F14">
        <w:rPr>
          <w:rFonts w:ascii="Arial" w:hAnsi="Arial" w:cs="Arial"/>
          <w:sz w:val="24"/>
          <w:szCs w:val="24"/>
        </w:rPr>
        <w:t xml:space="preserve"> statutes do not specify how to punish </w:t>
      </w:r>
      <w:r w:rsidR="00E211B0" w:rsidRPr="00495F14">
        <w:rPr>
          <w:rFonts w:ascii="Arial" w:hAnsi="Arial" w:cs="Arial"/>
          <w:sz w:val="24"/>
          <w:szCs w:val="24"/>
        </w:rPr>
        <w:t xml:space="preserve">officers </w:t>
      </w:r>
      <w:r w:rsidR="004340AB">
        <w:rPr>
          <w:rFonts w:ascii="Arial" w:hAnsi="Arial" w:cs="Arial"/>
          <w:sz w:val="24"/>
          <w:szCs w:val="24"/>
        </w:rPr>
        <w:t>who do not comply</w:t>
      </w:r>
      <w:r w:rsidR="006355DE">
        <w:rPr>
          <w:rFonts w:ascii="Arial" w:hAnsi="Arial" w:cs="Arial"/>
          <w:sz w:val="24"/>
          <w:szCs w:val="24"/>
        </w:rPr>
        <w:t xml:space="preserve"> with procedures</w:t>
      </w:r>
      <w:r w:rsidRPr="00495F14">
        <w:rPr>
          <w:rStyle w:val="FootnoteReference"/>
          <w:rFonts w:ascii="Arial" w:hAnsi="Arial" w:cs="Arial"/>
          <w:sz w:val="24"/>
          <w:szCs w:val="24"/>
        </w:rPr>
        <w:footnoteReference w:id="18"/>
      </w:r>
      <w:r w:rsidR="00A36ADC">
        <w:rPr>
          <w:rFonts w:ascii="Arial" w:hAnsi="Arial" w:cs="Arial"/>
          <w:sz w:val="24"/>
          <w:szCs w:val="24"/>
        </w:rPr>
        <w:t>, so that</w:t>
      </w:r>
      <w:r w:rsidR="00340C05">
        <w:rPr>
          <w:rFonts w:ascii="Arial" w:hAnsi="Arial" w:cs="Arial"/>
          <w:sz w:val="24"/>
          <w:szCs w:val="24"/>
        </w:rPr>
        <w:t>,</w:t>
      </w:r>
      <w:r w:rsidR="000B2489">
        <w:rPr>
          <w:rFonts w:ascii="Arial" w:hAnsi="Arial" w:cs="Arial"/>
          <w:sz w:val="24"/>
          <w:szCs w:val="24"/>
        </w:rPr>
        <w:t xml:space="preserve"> even though an abuse of power should theoretically lead to a charge of assault and allow a citizen to recover damages</w:t>
      </w:r>
      <w:r w:rsidR="00151F63">
        <w:rPr>
          <w:rStyle w:val="FootnoteReference"/>
          <w:rFonts w:ascii="Arial" w:hAnsi="Arial" w:cs="Arial"/>
          <w:sz w:val="24"/>
          <w:szCs w:val="24"/>
        </w:rPr>
        <w:footnoteReference w:id="19"/>
      </w:r>
      <w:r w:rsidR="000B2489">
        <w:rPr>
          <w:rFonts w:ascii="Arial" w:hAnsi="Arial" w:cs="Arial"/>
          <w:sz w:val="24"/>
          <w:szCs w:val="24"/>
        </w:rPr>
        <w:t xml:space="preserve">, the lack of well-defined statutory penalties </w:t>
      </w:r>
      <w:r w:rsidR="00BE6E4E">
        <w:rPr>
          <w:rFonts w:ascii="Arial" w:hAnsi="Arial" w:cs="Arial"/>
          <w:sz w:val="24"/>
          <w:szCs w:val="24"/>
        </w:rPr>
        <w:t>hinders these processes</w:t>
      </w:r>
      <w:r w:rsidRPr="00495F14">
        <w:rPr>
          <w:rStyle w:val="FootnoteReference"/>
          <w:rFonts w:ascii="Arial" w:hAnsi="Arial" w:cs="Arial"/>
          <w:sz w:val="24"/>
          <w:szCs w:val="24"/>
        </w:rPr>
        <w:footnoteReference w:id="20"/>
      </w:r>
      <w:r w:rsidRPr="00495F14">
        <w:rPr>
          <w:rFonts w:ascii="Arial" w:hAnsi="Arial" w:cs="Arial"/>
          <w:sz w:val="24"/>
          <w:szCs w:val="24"/>
        </w:rPr>
        <w:t xml:space="preserve">. </w:t>
      </w:r>
      <w:r w:rsidR="001B7C4A" w:rsidRPr="00495F14">
        <w:rPr>
          <w:rFonts w:ascii="Arial" w:hAnsi="Arial" w:cs="Arial"/>
          <w:sz w:val="24"/>
          <w:szCs w:val="24"/>
        </w:rPr>
        <w:t>Instead</w:t>
      </w:r>
      <w:r w:rsidRPr="00495F14">
        <w:rPr>
          <w:rFonts w:ascii="Arial" w:hAnsi="Arial" w:cs="Arial"/>
          <w:sz w:val="24"/>
          <w:szCs w:val="24"/>
        </w:rPr>
        <w:t xml:space="preserve">, whoever will not consent to the search </w:t>
      </w:r>
      <w:r w:rsidR="00107017">
        <w:rPr>
          <w:rFonts w:ascii="Arial" w:hAnsi="Arial" w:cs="Arial"/>
          <w:sz w:val="24"/>
          <w:szCs w:val="24"/>
        </w:rPr>
        <w:t>is likely to</w:t>
      </w:r>
      <w:r w:rsidRPr="00495F14">
        <w:rPr>
          <w:rFonts w:ascii="Arial" w:hAnsi="Arial" w:cs="Arial"/>
          <w:sz w:val="24"/>
          <w:szCs w:val="24"/>
        </w:rPr>
        <w:t xml:space="preserve"> incur criminal liability</w:t>
      </w:r>
      <w:r w:rsidRPr="00495F14">
        <w:rPr>
          <w:rStyle w:val="FootnoteReference"/>
          <w:rFonts w:ascii="Arial" w:hAnsi="Arial" w:cs="Arial"/>
          <w:sz w:val="24"/>
          <w:szCs w:val="24"/>
        </w:rPr>
        <w:footnoteReference w:id="21"/>
      </w:r>
      <w:r w:rsidRPr="00495F14">
        <w:rPr>
          <w:rFonts w:ascii="Arial" w:hAnsi="Arial" w:cs="Arial"/>
          <w:sz w:val="24"/>
          <w:szCs w:val="24"/>
        </w:rPr>
        <w:t xml:space="preserve">. </w:t>
      </w:r>
    </w:p>
    <w:p w14:paraId="6CFD72C1" w14:textId="77777777" w:rsidR="00FE7FF0" w:rsidRPr="00495F14" w:rsidRDefault="00FE7FF0" w:rsidP="00F91605">
      <w:pPr>
        <w:spacing w:line="360" w:lineRule="auto"/>
        <w:ind w:left="1417"/>
        <w:jc w:val="both"/>
        <w:rPr>
          <w:rFonts w:ascii="Arial" w:hAnsi="Arial" w:cs="Arial"/>
          <w:sz w:val="24"/>
          <w:szCs w:val="24"/>
        </w:rPr>
      </w:pPr>
    </w:p>
    <w:p w14:paraId="52284D66" w14:textId="77777777" w:rsidR="00987A7D" w:rsidRDefault="0077404C" w:rsidP="007A1C99">
      <w:pPr>
        <w:spacing w:after="0" w:line="360" w:lineRule="auto"/>
        <w:ind w:left="1417"/>
        <w:jc w:val="both"/>
        <w:rPr>
          <w:rStyle w:val="searchword"/>
          <w:rFonts w:ascii="Arial" w:hAnsi="Arial" w:cs="Arial"/>
          <w:sz w:val="24"/>
          <w:szCs w:val="24"/>
        </w:rPr>
      </w:pPr>
      <w:r w:rsidRPr="00495F14">
        <w:rPr>
          <w:rFonts w:ascii="Arial" w:hAnsi="Arial" w:cs="Arial"/>
          <w:sz w:val="24"/>
          <w:szCs w:val="24"/>
        </w:rPr>
        <w:t xml:space="preserve">As </w:t>
      </w:r>
      <w:r w:rsidR="008B6872">
        <w:rPr>
          <w:rFonts w:ascii="Arial" w:hAnsi="Arial" w:cs="Arial"/>
          <w:sz w:val="24"/>
          <w:szCs w:val="24"/>
        </w:rPr>
        <w:t>stated</w:t>
      </w:r>
      <w:r w:rsidRPr="00495F14">
        <w:rPr>
          <w:rFonts w:ascii="Arial" w:hAnsi="Arial" w:cs="Arial"/>
          <w:sz w:val="24"/>
          <w:szCs w:val="24"/>
        </w:rPr>
        <w:t xml:space="preserve"> by the Council of Europe, democracy is not only synonymous with “</w:t>
      </w:r>
      <w:r w:rsidRPr="00495F14">
        <w:rPr>
          <w:rFonts w:ascii="Arial" w:hAnsi="Arial" w:cs="Arial"/>
          <w:i/>
          <w:sz w:val="24"/>
          <w:szCs w:val="24"/>
        </w:rPr>
        <w:t>electoral majority</w:t>
      </w:r>
      <w:r w:rsidRPr="00495F14">
        <w:rPr>
          <w:rFonts w:ascii="Arial" w:hAnsi="Arial" w:cs="Arial"/>
          <w:sz w:val="24"/>
          <w:szCs w:val="24"/>
        </w:rPr>
        <w:t>”</w:t>
      </w:r>
      <w:r w:rsidR="00FB0F5C" w:rsidRPr="00495F14">
        <w:rPr>
          <w:rStyle w:val="FootnoteReference"/>
          <w:rFonts w:ascii="Arial" w:hAnsi="Arial" w:cs="Arial"/>
          <w:sz w:val="24"/>
          <w:szCs w:val="24"/>
        </w:rPr>
        <w:footnoteReference w:id="22"/>
      </w:r>
      <w:r w:rsidRPr="00495F14">
        <w:rPr>
          <w:rFonts w:ascii="Arial" w:hAnsi="Arial" w:cs="Arial"/>
          <w:sz w:val="24"/>
          <w:szCs w:val="24"/>
        </w:rPr>
        <w:t xml:space="preserve">. </w:t>
      </w:r>
      <w:r w:rsidR="00A55283" w:rsidRPr="00495F14">
        <w:rPr>
          <w:rFonts w:ascii="Arial" w:hAnsi="Arial" w:cs="Arial"/>
          <w:sz w:val="24"/>
          <w:szCs w:val="24"/>
        </w:rPr>
        <w:t>D</w:t>
      </w:r>
      <w:r w:rsidR="00FB0F5C" w:rsidRPr="00495F14">
        <w:rPr>
          <w:rFonts w:ascii="Arial" w:hAnsi="Arial" w:cs="Arial"/>
          <w:sz w:val="24"/>
          <w:szCs w:val="24"/>
        </w:rPr>
        <w:t xml:space="preserve">emocratic countries should enshrine </w:t>
      </w:r>
      <w:r w:rsidR="001548E6" w:rsidRPr="00495F14">
        <w:rPr>
          <w:rFonts w:ascii="Arial" w:hAnsi="Arial" w:cs="Arial"/>
          <w:sz w:val="24"/>
          <w:szCs w:val="24"/>
        </w:rPr>
        <w:t xml:space="preserve">human rights </w:t>
      </w:r>
      <w:r w:rsidR="00FB0F5C" w:rsidRPr="00495F14">
        <w:rPr>
          <w:rFonts w:ascii="Arial" w:hAnsi="Arial" w:cs="Arial"/>
          <w:sz w:val="24"/>
          <w:szCs w:val="24"/>
        </w:rPr>
        <w:t xml:space="preserve">as well as principles </w:t>
      </w:r>
      <w:r w:rsidR="008153F3" w:rsidRPr="00495F14">
        <w:rPr>
          <w:rFonts w:ascii="Arial" w:hAnsi="Arial" w:cs="Arial"/>
          <w:sz w:val="24"/>
          <w:szCs w:val="24"/>
        </w:rPr>
        <w:t xml:space="preserve">expressed by the doctrine of </w:t>
      </w:r>
      <w:r w:rsidR="001548E6" w:rsidRPr="00495F14">
        <w:rPr>
          <w:rFonts w:ascii="Arial" w:hAnsi="Arial" w:cs="Arial"/>
          <w:sz w:val="24"/>
          <w:szCs w:val="24"/>
        </w:rPr>
        <w:t>the rule of law</w:t>
      </w:r>
      <w:r w:rsidR="00BA217E" w:rsidRPr="00495F14">
        <w:rPr>
          <w:rStyle w:val="FootnoteReference"/>
          <w:rFonts w:ascii="Arial" w:hAnsi="Arial" w:cs="Arial"/>
          <w:sz w:val="24"/>
          <w:szCs w:val="24"/>
        </w:rPr>
        <w:footnoteReference w:id="23"/>
      </w:r>
      <w:r w:rsidR="00052811">
        <w:rPr>
          <w:rFonts w:ascii="Arial" w:hAnsi="Arial" w:cs="Arial"/>
          <w:sz w:val="24"/>
          <w:szCs w:val="24"/>
        </w:rPr>
        <w:t xml:space="preserve">, while </w:t>
      </w:r>
      <w:r w:rsidR="00D61495" w:rsidRPr="00495F14">
        <w:rPr>
          <w:rFonts w:ascii="Arial" w:hAnsi="Arial" w:cs="Arial"/>
          <w:sz w:val="24"/>
          <w:szCs w:val="24"/>
        </w:rPr>
        <w:t>aim</w:t>
      </w:r>
      <w:r w:rsidR="00052811">
        <w:rPr>
          <w:rFonts w:ascii="Arial" w:hAnsi="Arial" w:cs="Arial"/>
          <w:sz w:val="24"/>
          <w:szCs w:val="24"/>
        </w:rPr>
        <w:t>ing</w:t>
      </w:r>
      <w:r w:rsidR="00BA217E" w:rsidRPr="00495F14">
        <w:rPr>
          <w:rFonts w:ascii="Arial" w:hAnsi="Arial" w:cs="Arial"/>
          <w:sz w:val="24"/>
          <w:szCs w:val="24"/>
        </w:rPr>
        <w:t xml:space="preserve"> to preserve public safety.</w:t>
      </w:r>
      <w:r w:rsidR="00073D1C" w:rsidRPr="00495F14">
        <w:rPr>
          <w:rFonts w:ascii="Arial" w:hAnsi="Arial" w:cs="Arial"/>
          <w:sz w:val="24"/>
          <w:szCs w:val="24"/>
        </w:rPr>
        <w:t xml:space="preserve"> </w:t>
      </w:r>
      <w:r w:rsidR="00052811">
        <w:rPr>
          <w:rFonts w:ascii="Arial" w:hAnsi="Arial" w:cs="Arial"/>
          <w:sz w:val="24"/>
          <w:szCs w:val="24"/>
        </w:rPr>
        <w:t>Due to this dichotomy,</w:t>
      </w:r>
      <w:r w:rsidR="00EA1AE1">
        <w:rPr>
          <w:rFonts w:ascii="Arial" w:hAnsi="Arial" w:cs="Arial"/>
          <w:sz w:val="24"/>
          <w:szCs w:val="24"/>
        </w:rPr>
        <w:t xml:space="preserve"> </w:t>
      </w:r>
      <w:r w:rsidR="00073D1C" w:rsidRPr="00495F14">
        <w:rPr>
          <w:rFonts w:ascii="Arial" w:hAnsi="Arial" w:cs="Arial"/>
          <w:sz w:val="24"/>
          <w:szCs w:val="24"/>
        </w:rPr>
        <w:t>the rights of</w:t>
      </w:r>
      <w:r w:rsidR="00052811">
        <w:rPr>
          <w:rFonts w:ascii="Arial" w:hAnsi="Arial" w:cs="Arial"/>
          <w:sz w:val="24"/>
          <w:szCs w:val="24"/>
        </w:rPr>
        <w:t xml:space="preserve"> some</w:t>
      </w:r>
      <w:r w:rsidR="00073D1C" w:rsidRPr="00495F14">
        <w:rPr>
          <w:rFonts w:ascii="Arial" w:hAnsi="Arial" w:cs="Arial"/>
          <w:sz w:val="24"/>
          <w:szCs w:val="24"/>
        </w:rPr>
        <w:t xml:space="preserve"> </w:t>
      </w:r>
      <w:r w:rsidR="00EB14E7" w:rsidRPr="00495F14">
        <w:rPr>
          <w:rFonts w:ascii="Arial" w:hAnsi="Arial" w:cs="Arial"/>
          <w:sz w:val="24"/>
          <w:szCs w:val="24"/>
        </w:rPr>
        <w:t>might be</w:t>
      </w:r>
      <w:r w:rsidR="00073D1C" w:rsidRPr="00495F14">
        <w:rPr>
          <w:rFonts w:ascii="Arial" w:hAnsi="Arial" w:cs="Arial"/>
          <w:sz w:val="24"/>
          <w:szCs w:val="24"/>
        </w:rPr>
        <w:t xml:space="preserve"> sacrificed </w:t>
      </w:r>
      <w:r w:rsidR="00864B6B">
        <w:rPr>
          <w:rFonts w:ascii="Arial" w:hAnsi="Arial" w:cs="Arial"/>
          <w:sz w:val="24"/>
          <w:szCs w:val="24"/>
        </w:rPr>
        <w:t>in order to</w:t>
      </w:r>
      <w:r w:rsidR="00073D1C" w:rsidRPr="00495F14">
        <w:rPr>
          <w:rFonts w:ascii="Arial" w:hAnsi="Arial" w:cs="Arial"/>
          <w:sz w:val="24"/>
          <w:szCs w:val="24"/>
        </w:rPr>
        <w:t xml:space="preserve"> protect the multitude, particularly when serious threat</w:t>
      </w:r>
      <w:r w:rsidR="00314645" w:rsidRPr="00495F14">
        <w:rPr>
          <w:rFonts w:ascii="Arial" w:hAnsi="Arial" w:cs="Arial"/>
          <w:sz w:val="24"/>
          <w:szCs w:val="24"/>
        </w:rPr>
        <w:t>s</w:t>
      </w:r>
      <w:r w:rsidR="00EB14E7" w:rsidRPr="00495F14">
        <w:rPr>
          <w:rFonts w:ascii="Arial" w:hAnsi="Arial" w:cs="Arial"/>
          <w:sz w:val="24"/>
          <w:szCs w:val="24"/>
        </w:rPr>
        <w:t xml:space="preserve"> </w:t>
      </w:r>
      <w:r w:rsidR="00314645" w:rsidRPr="00495F14">
        <w:rPr>
          <w:rFonts w:ascii="Arial" w:hAnsi="Arial" w:cs="Arial"/>
          <w:sz w:val="24"/>
          <w:szCs w:val="24"/>
        </w:rPr>
        <w:t>arise</w:t>
      </w:r>
      <w:r w:rsidR="00073D1C" w:rsidRPr="00495F14">
        <w:rPr>
          <w:rFonts w:ascii="Arial" w:hAnsi="Arial" w:cs="Arial"/>
          <w:sz w:val="24"/>
          <w:szCs w:val="24"/>
        </w:rPr>
        <w:t xml:space="preserve">. The correctness of this assumption does not seem to be questionable. Yet, the </w:t>
      </w:r>
      <w:r w:rsidR="00052811">
        <w:rPr>
          <w:rFonts w:ascii="Arial" w:hAnsi="Arial" w:cs="Arial"/>
          <w:sz w:val="24"/>
          <w:szCs w:val="24"/>
        </w:rPr>
        <w:t>enactment of HRA 1998</w:t>
      </w:r>
      <w:r w:rsidR="0066709E">
        <w:rPr>
          <w:rStyle w:val="FootnoteReference"/>
          <w:rFonts w:ascii="Arial" w:hAnsi="Arial" w:cs="Arial"/>
          <w:sz w:val="24"/>
          <w:szCs w:val="24"/>
        </w:rPr>
        <w:footnoteReference w:id="24"/>
      </w:r>
      <w:r w:rsidR="00052811">
        <w:rPr>
          <w:rFonts w:ascii="Arial" w:hAnsi="Arial" w:cs="Arial"/>
          <w:sz w:val="24"/>
          <w:szCs w:val="24"/>
        </w:rPr>
        <w:t xml:space="preserve"> has somehow limited the executive’s power. On the one hand, s</w:t>
      </w:r>
      <w:r w:rsidR="00EB14E7" w:rsidRPr="00495F14">
        <w:rPr>
          <w:rFonts w:ascii="Arial" w:hAnsi="Arial" w:cs="Arial"/>
          <w:sz w:val="24"/>
          <w:szCs w:val="24"/>
        </w:rPr>
        <w:t xml:space="preserve">ome believe that judges </w:t>
      </w:r>
      <w:r w:rsidR="00270490" w:rsidRPr="00495F14">
        <w:rPr>
          <w:rFonts w:ascii="Arial" w:hAnsi="Arial" w:cs="Arial"/>
          <w:sz w:val="24"/>
          <w:szCs w:val="24"/>
        </w:rPr>
        <w:t>should</w:t>
      </w:r>
      <w:r w:rsidR="00052811">
        <w:rPr>
          <w:rFonts w:ascii="Arial" w:hAnsi="Arial" w:cs="Arial"/>
          <w:sz w:val="24"/>
          <w:szCs w:val="24"/>
        </w:rPr>
        <w:t xml:space="preserve"> not</w:t>
      </w:r>
      <w:r w:rsidR="00EB14E7" w:rsidRPr="00495F14">
        <w:rPr>
          <w:rFonts w:ascii="Arial" w:hAnsi="Arial" w:cs="Arial"/>
          <w:sz w:val="24"/>
          <w:szCs w:val="24"/>
        </w:rPr>
        <w:t xml:space="preserve"> intervene in </w:t>
      </w:r>
      <w:r w:rsidR="00EB14E7" w:rsidRPr="00495F14">
        <w:rPr>
          <w:rFonts w:ascii="Arial" w:hAnsi="Arial" w:cs="Arial"/>
          <w:sz w:val="24"/>
          <w:szCs w:val="24"/>
        </w:rPr>
        <w:lastRenderedPageBreak/>
        <w:t xml:space="preserve">policy </w:t>
      </w:r>
      <w:r w:rsidR="00031F33" w:rsidRPr="00495F14">
        <w:rPr>
          <w:rFonts w:ascii="Arial" w:hAnsi="Arial" w:cs="Arial"/>
          <w:sz w:val="24"/>
          <w:szCs w:val="24"/>
        </w:rPr>
        <w:t>decisions</w:t>
      </w:r>
      <w:r w:rsidR="00EB14E7" w:rsidRPr="00495F14">
        <w:rPr>
          <w:rFonts w:ascii="Arial" w:hAnsi="Arial" w:cs="Arial"/>
          <w:sz w:val="24"/>
          <w:szCs w:val="24"/>
        </w:rPr>
        <w:t xml:space="preserve"> on the ground that they </w:t>
      </w:r>
      <w:r w:rsidR="00592580" w:rsidRPr="00495F14">
        <w:rPr>
          <w:rFonts w:ascii="Arial" w:hAnsi="Arial" w:cs="Arial"/>
          <w:sz w:val="24"/>
          <w:szCs w:val="24"/>
        </w:rPr>
        <w:t xml:space="preserve">lack expertise and </w:t>
      </w:r>
      <w:r w:rsidR="001F4E87" w:rsidRPr="00495F14">
        <w:rPr>
          <w:rFonts w:ascii="Arial" w:hAnsi="Arial" w:cs="Arial"/>
          <w:sz w:val="24"/>
          <w:szCs w:val="24"/>
        </w:rPr>
        <w:t>authority</w:t>
      </w:r>
      <w:r w:rsidR="00EB14E7" w:rsidRPr="00495F14">
        <w:rPr>
          <w:rStyle w:val="FootnoteReference"/>
          <w:rFonts w:ascii="Arial" w:hAnsi="Arial" w:cs="Arial"/>
          <w:sz w:val="24"/>
          <w:szCs w:val="24"/>
        </w:rPr>
        <w:footnoteReference w:id="25"/>
      </w:r>
      <w:r w:rsidR="00EB14E7" w:rsidRPr="00495F14">
        <w:rPr>
          <w:rFonts w:ascii="Arial" w:hAnsi="Arial" w:cs="Arial"/>
          <w:sz w:val="24"/>
          <w:szCs w:val="24"/>
        </w:rPr>
        <w:t xml:space="preserve">. In some instances, judges themselves </w:t>
      </w:r>
      <w:r w:rsidR="00052811">
        <w:rPr>
          <w:rFonts w:ascii="Arial" w:hAnsi="Arial" w:cs="Arial"/>
          <w:sz w:val="24"/>
          <w:szCs w:val="24"/>
        </w:rPr>
        <w:t>agree with</w:t>
      </w:r>
      <w:r w:rsidR="00C37C0C">
        <w:rPr>
          <w:rFonts w:ascii="Arial" w:hAnsi="Arial" w:cs="Arial"/>
          <w:sz w:val="24"/>
          <w:szCs w:val="24"/>
        </w:rPr>
        <w:t xml:space="preserve"> such</w:t>
      </w:r>
      <w:r w:rsidR="00052811">
        <w:rPr>
          <w:rFonts w:ascii="Arial" w:hAnsi="Arial" w:cs="Arial"/>
          <w:sz w:val="24"/>
          <w:szCs w:val="24"/>
        </w:rPr>
        <w:t xml:space="preserve"> statement.</w:t>
      </w:r>
      <w:r w:rsidR="00EB14E7" w:rsidRPr="00495F14">
        <w:rPr>
          <w:rFonts w:ascii="Arial" w:hAnsi="Arial" w:cs="Arial"/>
          <w:sz w:val="24"/>
          <w:szCs w:val="24"/>
        </w:rPr>
        <w:t xml:space="preserve"> For example, Lord Hoffman pointed out that this</w:t>
      </w:r>
      <w:r w:rsidR="00052811">
        <w:rPr>
          <w:rFonts w:ascii="Arial" w:hAnsi="Arial" w:cs="Arial"/>
          <w:sz w:val="24"/>
          <w:szCs w:val="24"/>
        </w:rPr>
        <w:t xml:space="preserve"> intrusion</w:t>
      </w:r>
      <w:r w:rsidR="00EB14E7" w:rsidRPr="00495F14">
        <w:rPr>
          <w:rFonts w:ascii="Arial" w:hAnsi="Arial" w:cs="Arial"/>
          <w:sz w:val="24"/>
          <w:szCs w:val="24"/>
        </w:rPr>
        <w:t xml:space="preserve"> would infringe the separation of powers</w:t>
      </w:r>
      <w:r w:rsidR="00EB14E7" w:rsidRPr="00495F14">
        <w:rPr>
          <w:rStyle w:val="FootnoteReference"/>
          <w:rFonts w:ascii="Arial" w:hAnsi="Arial" w:cs="Arial"/>
          <w:sz w:val="24"/>
          <w:szCs w:val="24"/>
        </w:rPr>
        <w:footnoteReference w:id="26"/>
      </w:r>
      <w:r w:rsidR="00EB14E7" w:rsidRPr="00495F14">
        <w:rPr>
          <w:rFonts w:ascii="Arial" w:hAnsi="Arial" w:cs="Arial"/>
          <w:sz w:val="24"/>
          <w:szCs w:val="24"/>
        </w:rPr>
        <w:t>.</w:t>
      </w:r>
      <w:r w:rsidR="00770F64" w:rsidRPr="00495F14">
        <w:rPr>
          <w:rFonts w:ascii="Arial" w:hAnsi="Arial" w:cs="Arial"/>
          <w:sz w:val="24"/>
          <w:szCs w:val="24"/>
        </w:rPr>
        <w:t xml:space="preserve"> </w:t>
      </w:r>
      <w:r w:rsidR="00085F55">
        <w:rPr>
          <w:rFonts w:ascii="Arial" w:hAnsi="Arial" w:cs="Arial"/>
          <w:sz w:val="24"/>
          <w:szCs w:val="24"/>
        </w:rPr>
        <w:t>On the other</w:t>
      </w:r>
      <w:r w:rsidR="00770F64" w:rsidRPr="00495F14">
        <w:rPr>
          <w:rFonts w:ascii="Arial" w:hAnsi="Arial" w:cs="Arial"/>
          <w:sz w:val="24"/>
          <w:szCs w:val="24"/>
        </w:rPr>
        <w:t xml:space="preserve">, </w:t>
      </w:r>
      <w:r w:rsidR="00120831">
        <w:rPr>
          <w:rFonts w:ascii="Arial" w:hAnsi="Arial" w:cs="Arial"/>
          <w:sz w:val="24"/>
          <w:szCs w:val="24"/>
        </w:rPr>
        <w:t>academics</w:t>
      </w:r>
      <w:r w:rsidR="00085F55">
        <w:rPr>
          <w:rFonts w:ascii="Arial" w:hAnsi="Arial" w:cs="Arial"/>
          <w:sz w:val="24"/>
          <w:szCs w:val="24"/>
        </w:rPr>
        <w:t xml:space="preserve"> </w:t>
      </w:r>
      <w:r w:rsidR="00770F64" w:rsidRPr="00495F14">
        <w:rPr>
          <w:rFonts w:ascii="Arial" w:hAnsi="Arial" w:cs="Arial"/>
          <w:sz w:val="24"/>
          <w:szCs w:val="24"/>
        </w:rPr>
        <w:t>contend that courts should provide their opinion, particularly in matters concerning human rights</w:t>
      </w:r>
      <w:r w:rsidR="00770F64" w:rsidRPr="00495F14">
        <w:rPr>
          <w:rStyle w:val="FootnoteReference"/>
          <w:rFonts w:ascii="Arial" w:hAnsi="Arial" w:cs="Arial"/>
          <w:sz w:val="24"/>
          <w:szCs w:val="24"/>
        </w:rPr>
        <w:footnoteReference w:id="27"/>
      </w:r>
      <w:r w:rsidR="00770F64" w:rsidRPr="00495F14">
        <w:rPr>
          <w:rFonts w:ascii="Arial" w:hAnsi="Arial" w:cs="Arial"/>
          <w:sz w:val="24"/>
          <w:szCs w:val="24"/>
        </w:rPr>
        <w:t xml:space="preserve">. In fact, </w:t>
      </w:r>
      <w:r w:rsidR="001B425A">
        <w:rPr>
          <w:rFonts w:ascii="Arial" w:hAnsi="Arial" w:cs="Arial"/>
          <w:sz w:val="24"/>
          <w:szCs w:val="24"/>
        </w:rPr>
        <w:t>judges</w:t>
      </w:r>
      <w:r w:rsidR="00770F64" w:rsidRPr="00495F14">
        <w:rPr>
          <w:rFonts w:ascii="Arial" w:hAnsi="Arial" w:cs="Arial"/>
          <w:sz w:val="24"/>
          <w:szCs w:val="24"/>
        </w:rPr>
        <w:t xml:space="preserve"> </w:t>
      </w:r>
      <w:r w:rsidR="00C37C0C">
        <w:rPr>
          <w:rFonts w:ascii="Arial" w:hAnsi="Arial" w:cs="Arial"/>
          <w:sz w:val="24"/>
          <w:szCs w:val="24"/>
        </w:rPr>
        <w:t xml:space="preserve">are </w:t>
      </w:r>
      <w:r w:rsidR="00DE09A7" w:rsidRPr="00FE44E7">
        <w:rPr>
          <w:rFonts w:ascii="Arial" w:hAnsi="Arial" w:cs="Arial"/>
          <w:sz w:val="24"/>
          <w:szCs w:val="24"/>
        </w:rPr>
        <w:t xml:space="preserve">to be </w:t>
      </w:r>
      <w:r w:rsidR="00770F64" w:rsidRPr="00495F14">
        <w:rPr>
          <w:rFonts w:ascii="Arial" w:hAnsi="Arial" w:cs="Arial"/>
          <w:sz w:val="24"/>
          <w:szCs w:val="24"/>
        </w:rPr>
        <w:t>considered unbiased, as they are not elected and thus do not seek approval</w:t>
      </w:r>
      <w:r w:rsidR="00770F64" w:rsidRPr="00495F14">
        <w:rPr>
          <w:rStyle w:val="FootnoteReference"/>
          <w:rFonts w:ascii="Arial" w:hAnsi="Arial" w:cs="Arial"/>
          <w:sz w:val="24"/>
          <w:szCs w:val="24"/>
        </w:rPr>
        <w:footnoteReference w:id="28"/>
      </w:r>
      <w:r w:rsidR="007135EC">
        <w:rPr>
          <w:rFonts w:ascii="Arial" w:hAnsi="Arial" w:cs="Arial"/>
          <w:sz w:val="24"/>
          <w:szCs w:val="24"/>
        </w:rPr>
        <w:t>. Moreover, some</w:t>
      </w:r>
      <w:r w:rsidR="00085F55">
        <w:rPr>
          <w:rFonts w:ascii="Arial" w:hAnsi="Arial" w:cs="Arial"/>
          <w:sz w:val="24"/>
          <w:szCs w:val="24"/>
        </w:rPr>
        <w:t xml:space="preserve"> deem </w:t>
      </w:r>
      <w:r w:rsidR="00770F64" w:rsidRPr="00495F14">
        <w:rPr>
          <w:rFonts w:ascii="Arial" w:hAnsi="Arial" w:cs="Arial"/>
          <w:sz w:val="24"/>
          <w:szCs w:val="24"/>
        </w:rPr>
        <w:t xml:space="preserve">political interaction </w:t>
      </w:r>
      <w:r w:rsidR="00085F55">
        <w:rPr>
          <w:rFonts w:ascii="Arial" w:hAnsi="Arial" w:cs="Arial"/>
          <w:sz w:val="24"/>
          <w:szCs w:val="24"/>
        </w:rPr>
        <w:t>to be</w:t>
      </w:r>
      <w:r w:rsidR="00770F64" w:rsidRPr="00495F14">
        <w:rPr>
          <w:rFonts w:ascii="Arial" w:hAnsi="Arial" w:cs="Arial"/>
          <w:sz w:val="24"/>
          <w:szCs w:val="24"/>
        </w:rPr>
        <w:t xml:space="preserve"> desirable; it makes branches of government understand that they play complementary roles, therefore fostering balance and moderation</w:t>
      </w:r>
      <w:r w:rsidR="00770F64" w:rsidRPr="00495F14">
        <w:rPr>
          <w:rStyle w:val="FootnoteReference"/>
          <w:rFonts w:ascii="Arial" w:hAnsi="Arial" w:cs="Arial"/>
          <w:sz w:val="24"/>
          <w:szCs w:val="24"/>
        </w:rPr>
        <w:footnoteReference w:id="29"/>
      </w:r>
      <w:r w:rsidR="00770F64" w:rsidRPr="00495F14">
        <w:rPr>
          <w:rFonts w:ascii="Arial" w:hAnsi="Arial" w:cs="Arial"/>
          <w:sz w:val="24"/>
          <w:szCs w:val="24"/>
        </w:rPr>
        <w:t xml:space="preserve">. </w:t>
      </w:r>
      <w:r w:rsidR="001E57FE" w:rsidRPr="00495F14">
        <w:rPr>
          <w:rFonts w:ascii="Arial" w:hAnsi="Arial" w:cs="Arial"/>
          <w:sz w:val="24"/>
          <w:szCs w:val="24"/>
        </w:rPr>
        <w:t>However</w:t>
      </w:r>
      <w:r w:rsidR="00B65967" w:rsidRPr="00495F14">
        <w:rPr>
          <w:rFonts w:ascii="Arial" w:hAnsi="Arial" w:cs="Arial"/>
          <w:sz w:val="24"/>
          <w:szCs w:val="24"/>
        </w:rPr>
        <w:t>,</w:t>
      </w:r>
      <w:r w:rsidR="00293075" w:rsidRPr="00495F14">
        <w:rPr>
          <w:rFonts w:ascii="Arial" w:hAnsi="Arial" w:cs="Arial"/>
          <w:sz w:val="24"/>
          <w:szCs w:val="24"/>
        </w:rPr>
        <w:t xml:space="preserve"> domestic courts</w:t>
      </w:r>
      <w:r w:rsidR="0091735F" w:rsidRPr="00495F14">
        <w:rPr>
          <w:rFonts w:ascii="Arial" w:hAnsi="Arial" w:cs="Arial"/>
          <w:sz w:val="24"/>
          <w:szCs w:val="24"/>
        </w:rPr>
        <w:t xml:space="preserve"> have never issued a declaration of incompatibility concerning stop and search powers</w:t>
      </w:r>
      <w:r w:rsidR="00B65967" w:rsidRPr="00495F14">
        <w:rPr>
          <w:rFonts w:ascii="Arial" w:hAnsi="Arial" w:cs="Arial"/>
          <w:sz w:val="24"/>
          <w:szCs w:val="24"/>
        </w:rPr>
        <w:t>,</w:t>
      </w:r>
      <w:r w:rsidR="00293075" w:rsidRPr="00495F14">
        <w:rPr>
          <w:rFonts w:ascii="Arial" w:hAnsi="Arial" w:cs="Arial"/>
          <w:sz w:val="24"/>
          <w:szCs w:val="24"/>
        </w:rPr>
        <w:t xml:space="preserve"> </w:t>
      </w:r>
      <w:r w:rsidR="001B425A">
        <w:rPr>
          <w:rFonts w:ascii="Arial" w:hAnsi="Arial" w:cs="Arial"/>
          <w:sz w:val="24"/>
          <w:szCs w:val="24"/>
        </w:rPr>
        <w:t xml:space="preserve">even </w:t>
      </w:r>
      <w:r w:rsidR="00293075" w:rsidRPr="00495F14">
        <w:rPr>
          <w:rFonts w:ascii="Arial" w:hAnsi="Arial" w:cs="Arial"/>
          <w:sz w:val="24"/>
          <w:szCs w:val="24"/>
        </w:rPr>
        <w:t>though</w:t>
      </w:r>
      <w:r w:rsidR="001B425A">
        <w:rPr>
          <w:rFonts w:ascii="Arial" w:hAnsi="Arial" w:cs="Arial"/>
          <w:sz w:val="24"/>
          <w:szCs w:val="24"/>
        </w:rPr>
        <w:t xml:space="preserve"> </w:t>
      </w:r>
      <w:r w:rsidR="001B425A" w:rsidRPr="00495F14">
        <w:rPr>
          <w:rFonts w:ascii="Arial" w:hAnsi="Arial" w:cs="Arial"/>
          <w:sz w:val="24"/>
          <w:szCs w:val="24"/>
        </w:rPr>
        <w:t>the ECtHR</w:t>
      </w:r>
      <w:r w:rsidR="00293075" w:rsidRPr="00495F14">
        <w:rPr>
          <w:rFonts w:ascii="Arial" w:hAnsi="Arial" w:cs="Arial"/>
          <w:sz w:val="24"/>
          <w:szCs w:val="24"/>
        </w:rPr>
        <w:t xml:space="preserve"> </w:t>
      </w:r>
      <w:r w:rsidR="001B425A">
        <w:rPr>
          <w:rFonts w:ascii="Arial" w:hAnsi="Arial" w:cs="Arial"/>
          <w:sz w:val="24"/>
          <w:szCs w:val="24"/>
        </w:rPr>
        <w:t>has</w:t>
      </w:r>
      <w:r w:rsidR="00770F64" w:rsidRPr="00495F14">
        <w:rPr>
          <w:rFonts w:ascii="Arial" w:hAnsi="Arial" w:cs="Arial"/>
          <w:sz w:val="24"/>
          <w:szCs w:val="24"/>
        </w:rPr>
        <w:t xml:space="preserve"> empowered </w:t>
      </w:r>
      <w:r w:rsidR="001B425A">
        <w:rPr>
          <w:rFonts w:ascii="Arial" w:hAnsi="Arial" w:cs="Arial"/>
          <w:sz w:val="24"/>
          <w:szCs w:val="24"/>
        </w:rPr>
        <w:t>them</w:t>
      </w:r>
      <w:r w:rsidR="00770F64" w:rsidRPr="00495F14">
        <w:rPr>
          <w:rFonts w:ascii="Arial" w:hAnsi="Arial" w:cs="Arial"/>
          <w:sz w:val="24"/>
          <w:szCs w:val="24"/>
        </w:rPr>
        <w:t xml:space="preserve"> to do so</w:t>
      </w:r>
      <w:r w:rsidR="00B65967" w:rsidRPr="00495F14">
        <w:rPr>
          <w:rFonts w:ascii="Arial" w:hAnsi="Arial" w:cs="Arial"/>
          <w:sz w:val="24"/>
          <w:szCs w:val="24"/>
        </w:rPr>
        <w:t>.</w:t>
      </w:r>
      <w:r w:rsidR="0091735F" w:rsidRPr="00495F14">
        <w:rPr>
          <w:rFonts w:ascii="Arial" w:hAnsi="Arial" w:cs="Arial"/>
          <w:sz w:val="24"/>
          <w:szCs w:val="24"/>
        </w:rPr>
        <w:t xml:space="preserve"> </w:t>
      </w:r>
    </w:p>
    <w:p w14:paraId="6F2E227C" w14:textId="77777777" w:rsidR="00CE78DD" w:rsidRDefault="00B1582F" w:rsidP="00F91605">
      <w:pPr>
        <w:spacing w:line="360" w:lineRule="auto"/>
        <w:ind w:left="1417"/>
        <w:jc w:val="both"/>
        <w:rPr>
          <w:rFonts w:ascii="Arial" w:hAnsi="Arial" w:cs="Arial"/>
          <w:sz w:val="24"/>
          <w:szCs w:val="24"/>
        </w:rPr>
      </w:pPr>
      <w:r w:rsidRPr="00495F14">
        <w:rPr>
          <w:rFonts w:ascii="Arial" w:hAnsi="Arial" w:cs="Arial"/>
          <w:sz w:val="24"/>
          <w:szCs w:val="24"/>
        </w:rPr>
        <w:t>I</w:t>
      </w:r>
      <w:r w:rsidR="00031F33" w:rsidRPr="00495F14">
        <w:rPr>
          <w:rFonts w:ascii="Arial" w:hAnsi="Arial" w:cs="Arial"/>
          <w:sz w:val="24"/>
          <w:szCs w:val="24"/>
        </w:rPr>
        <w:t>t is evident that domestic courts have been rel</w:t>
      </w:r>
      <w:r w:rsidR="00710424">
        <w:rPr>
          <w:rFonts w:ascii="Arial" w:hAnsi="Arial" w:cs="Arial"/>
          <w:sz w:val="24"/>
          <w:szCs w:val="24"/>
        </w:rPr>
        <w:t>uctant to protect human rights</w:t>
      </w:r>
      <w:r w:rsidR="00C9558E">
        <w:rPr>
          <w:rFonts w:ascii="Arial" w:hAnsi="Arial" w:cs="Arial"/>
          <w:sz w:val="24"/>
          <w:szCs w:val="24"/>
        </w:rPr>
        <w:t xml:space="preserve"> preferring</w:t>
      </w:r>
      <w:r w:rsidR="009A5B18">
        <w:rPr>
          <w:rFonts w:ascii="Arial" w:hAnsi="Arial" w:cs="Arial"/>
          <w:sz w:val="24"/>
          <w:szCs w:val="24"/>
        </w:rPr>
        <w:t xml:space="preserve"> not to disagree with </w:t>
      </w:r>
      <w:r w:rsidR="00F810F7">
        <w:rPr>
          <w:rFonts w:ascii="Arial" w:hAnsi="Arial" w:cs="Arial"/>
          <w:sz w:val="24"/>
          <w:szCs w:val="24"/>
        </w:rPr>
        <w:t>governmental policies</w:t>
      </w:r>
      <w:r w:rsidR="00031F33" w:rsidRPr="00495F14">
        <w:rPr>
          <w:rFonts w:ascii="Arial" w:hAnsi="Arial" w:cs="Arial"/>
          <w:sz w:val="24"/>
          <w:szCs w:val="24"/>
        </w:rPr>
        <w:t xml:space="preserve">. For instance, </w:t>
      </w:r>
      <w:r w:rsidR="005E756D" w:rsidRPr="00495F14">
        <w:rPr>
          <w:rFonts w:ascii="Arial" w:hAnsi="Arial" w:cs="Arial"/>
          <w:sz w:val="24"/>
          <w:szCs w:val="24"/>
        </w:rPr>
        <w:t>Gillan and Quinton’s application for judicial review</w:t>
      </w:r>
      <w:r w:rsidR="00031F33" w:rsidRPr="00495F14">
        <w:rPr>
          <w:rFonts w:ascii="Arial" w:hAnsi="Arial" w:cs="Arial"/>
          <w:sz w:val="24"/>
          <w:szCs w:val="24"/>
        </w:rPr>
        <w:t xml:space="preserve"> </w:t>
      </w:r>
      <w:r w:rsidRPr="00495F14">
        <w:rPr>
          <w:rFonts w:ascii="Arial" w:hAnsi="Arial" w:cs="Arial"/>
          <w:sz w:val="24"/>
          <w:szCs w:val="24"/>
        </w:rPr>
        <w:t xml:space="preserve">had been </w:t>
      </w:r>
      <w:r w:rsidR="00031F33" w:rsidRPr="00495F14">
        <w:rPr>
          <w:rFonts w:ascii="Arial" w:hAnsi="Arial" w:cs="Arial"/>
          <w:sz w:val="24"/>
          <w:szCs w:val="24"/>
        </w:rPr>
        <w:t>dismissed by the Divisional Court</w:t>
      </w:r>
      <w:r w:rsidR="005E756D" w:rsidRPr="00495F14">
        <w:rPr>
          <w:rStyle w:val="FootnoteReference"/>
          <w:rFonts w:ascii="Arial" w:hAnsi="Arial" w:cs="Arial"/>
          <w:sz w:val="24"/>
          <w:szCs w:val="24"/>
        </w:rPr>
        <w:footnoteReference w:id="30"/>
      </w:r>
      <w:r w:rsidR="00031F33" w:rsidRPr="00495F14">
        <w:rPr>
          <w:rFonts w:ascii="Arial" w:hAnsi="Arial" w:cs="Arial"/>
          <w:sz w:val="24"/>
          <w:szCs w:val="24"/>
        </w:rPr>
        <w:t xml:space="preserve">. Later, the </w:t>
      </w:r>
      <w:r w:rsidR="00357F2D" w:rsidRPr="00495F14">
        <w:rPr>
          <w:rFonts w:ascii="Arial" w:hAnsi="Arial" w:cs="Arial"/>
          <w:sz w:val="24"/>
          <w:szCs w:val="24"/>
        </w:rPr>
        <w:t>House of Lords contended that neither article 5 nor 8 had been interfered with</w:t>
      </w:r>
      <w:r w:rsidR="006435FC" w:rsidRPr="00495F14">
        <w:rPr>
          <w:rStyle w:val="FootnoteReference"/>
          <w:rFonts w:ascii="Arial" w:hAnsi="Arial" w:cs="Arial"/>
          <w:sz w:val="24"/>
          <w:szCs w:val="24"/>
        </w:rPr>
        <w:footnoteReference w:id="31"/>
      </w:r>
      <w:r w:rsidR="00357F2D" w:rsidRPr="00495F14">
        <w:rPr>
          <w:rFonts w:ascii="Arial" w:hAnsi="Arial" w:cs="Arial"/>
          <w:sz w:val="24"/>
          <w:szCs w:val="24"/>
        </w:rPr>
        <w:t xml:space="preserve">. </w:t>
      </w:r>
      <w:r w:rsidR="00031F33" w:rsidRPr="00495F14">
        <w:rPr>
          <w:rFonts w:ascii="Arial" w:hAnsi="Arial" w:cs="Arial"/>
          <w:sz w:val="24"/>
          <w:szCs w:val="24"/>
        </w:rPr>
        <w:t>Similarly, i</w:t>
      </w:r>
      <w:r w:rsidR="009A46B8" w:rsidRPr="00495F14">
        <w:rPr>
          <w:rFonts w:ascii="Arial" w:hAnsi="Arial" w:cs="Arial"/>
          <w:sz w:val="24"/>
          <w:szCs w:val="24"/>
        </w:rPr>
        <w:t xml:space="preserve">n </w:t>
      </w:r>
      <w:r w:rsidR="009A46B8" w:rsidRPr="00495F14">
        <w:rPr>
          <w:rFonts w:ascii="Arial" w:hAnsi="Arial" w:cs="Arial"/>
          <w:b/>
          <w:i/>
          <w:sz w:val="24"/>
          <w:szCs w:val="24"/>
          <w:u w:val="single"/>
        </w:rPr>
        <w:t>Roberts</w:t>
      </w:r>
      <w:r w:rsidR="009A46B8" w:rsidRPr="00495F14">
        <w:rPr>
          <w:rStyle w:val="FootnoteReference"/>
          <w:rFonts w:ascii="Arial" w:hAnsi="Arial" w:cs="Arial"/>
          <w:sz w:val="24"/>
          <w:szCs w:val="24"/>
        </w:rPr>
        <w:footnoteReference w:id="32"/>
      </w:r>
      <w:r w:rsidR="00031F33" w:rsidRPr="00495F14">
        <w:rPr>
          <w:rFonts w:ascii="Arial" w:hAnsi="Arial" w:cs="Arial"/>
          <w:sz w:val="24"/>
          <w:szCs w:val="24"/>
        </w:rPr>
        <w:t>,</w:t>
      </w:r>
      <w:r w:rsidR="009A46B8" w:rsidRPr="00495F14">
        <w:rPr>
          <w:rFonts w:ascii="Arial" w:hAnsi="Arial" w:cs="Arial"/>
          <w:sz w:val="24"/>
          <w:szCs w:val="24"/>
        </w:rPr>
        <w:t xml:space="preserve"> both the Queen Bench and more recently the Court of Appeal</w:t>
      </w:r>
      <w:r w:rsidR="009A46B8" w:rsidRPr="00495F14">
        <w:rPr>
          <w:rStyle w:val="FootnoteReference"/>
          <w:rFonts w:ascii="Arial" w:hAnsi="Arial" w:cs="Arial"/>
          <w:sz w:val="24"/>
          <w:szCs w:val="24"/>
        </w:rPr>
        <w:footnoteReference w:id="33"/>
      </w:r>
      <w:r w:rsidR="009A46B8" w:rsidRPr="00495F14">
        <w:rPr>
          <w:rFonts w:ascii="Arial" w:hAnsi="Arial" w:cs="Arial"/>
          <w:sz w:val="24"/>
          <w:szCs w:val="24"/>
        </w:rPr>
        <w:t xml:space="preserve"> maintained that section 60 of the </w:t>
      </w:r>
      <w:r w:rsidR="009A46B8" w:rsidRPr="00495F14">
        <w:rPr>
          <w:rFonts w:ascii="Arial" w:hAnsi="Arial" w:cs="Arial"/>
          <w:i/>
          <w:sz w:val="24"/>
          <w:szCs w:val="24"/>
          <w:u w:val="single"/>
        </w:rPr>
        <w:t>CJPOA 1994</w:t>
      </w:r>
      <w:r w:rsidR="002B0DB9" w:rsidRPr="00495F14">
        <w:rPr>
          <w:rStyle w:val="FootnoteReference"/>
          <w:rFonts w:ascii="Arial" w:hAnsi="Arial" w:cs="Arial"/>
          <w:i/>
          <w:sz w:val="24"/>
          <w:szCs w:val="24"/>
          <w:u w:val="single"/>
        </w:rPr>
        <w:footnoteReference w:id="34"/>
      </w:r>
      <w:r w:rsidR="009A46B8" w:rsidRPr="00495F14">
        <w:rPr>
          <w:rFonts w:ascii="Arial" w:hAnsi="Arial" w:cs="Arial"/>
          <w:sz w:val="24"/>
          <w:szCs w:val="24"/>
        </w:rPr>
        <w:t xml:space="preserve"> had not infringed either rights</w:t>
      </w:r>
      <w:r w:rsidR="009A46B8" w:rsidRPr="00495F14">
        <w:rPr>
          <w:rStyle w:val="FootnoteReference"/>
          <w:rFonts w:ascii="Arial" w:hAnsi="Arial" w:cs="Arial"/>
          <w:sz w:val="24"/>
          <w:szCs w:val="24"/>
        </w:rPr>
        <w:footnoteReference w:id="35"/>
      </w:r>
      <w:r w:rsidR="00FD6CC0">
        <w:rPr>
          <w:rFonts w:ascii="Arial" w:hAnsi="Arial" w:cs="Arial"/>
          <w:sz w:val="24"/>
          <w:szCs w:val="24"/>
        </w:rPr>
        <w:t xml:space="preserve"> and that it</w:t>
      </w:r>
      <w:r w:rsidR="009A46B8" w:rsidRPr="00495F14">
        <w:rPr>
          <w:rFonts w:ascii="Arial" w:hAnsi="Arial" w:cs="Arial"/>
          <w:sz w:val="24"/>
          <w:szCs w:val="24"/>
        </w:rPr>
        <w:t xml:space="preserve"> had </w:t>
      </w:r>
      <w:r w:rsidR="00505B36">
        <w:rPr>
          <w:rFonts w:ascii="Arial" w:hAnsi="Arial" w:cs="Arial"/>
          <w:sz w:val="24"/>
          <w:szCs w:val="24"/>
        </w:rPr>
        <w:t>not</w:t>
      </w:r>
      <w:r w:rsidR="009A46B8" w:rsidRPr="00495F14">
        <w:rPr>
          <w:rFonts w:ascii="Arial" w:hAnsi="Arial" w:cs="Arial"/>
          <w:sz w:val="24"/>
          <w:szCs w:val="24"/>
        </w:rPr>
        <w:t xml:space="preserve"> been exercised in a discriminatory way</w:t>
      </w:r>
      <w:r w:rsidR="00100DD3" w:rsidRPr="00495F14">
        <w:rPr>
          <w:rFonts w:ascii="Arial" w:hAnsi="Arial" w:cs="Arial"/>
          <w:sz w:val="24"/>
          <w:szCs w:val="24"/>
        </w:rPr>
        <w:t>.</w:t>
      </w:r>
      <w:r w:rsidR="00031F33" w:rsidRPr="00495F14">
        <w:rPr>
          <w:rFonts w:ascii="Arial" w:hAnsi="Arial" w:cs="Arial"/>
          <w:sz w:val="24"/>
          <w:szCs w:val="24"/>
        </w:rPr>
        <w:t xml:space="preserve"> </w:t>
      </w:r>
      <w:r w:rsidR="00D710E1">
        <w:rPr>
          <w:rFonts w:ascii="Arial" w:hAnsi="Arial" w:cs="Arial"/>
          <w:sz w:val="24"/>
          <w:szCs w:val="24"/>
        </w:rPr>
        <w:t xml:space="preserve">The </w:t>
      </w:r>
      <w:r w:rsidR="00776F58" w:rsidRPr="00495F14">
        <w:rPr>
          <w:rFonts w:ascii="Arial" w:hAnsi="Arial" w:cs="Arial"/>
          <w:sz w:val="24"/>
          <w:szCs w:val="24"/>
        </w:rPr>
        <w:t>C</w:t>
      </w:r>
      <w:r w:rsidR="00100DD3" w:rsidRPr="00495F14">
        <w:rPr>
          <w:rFonts w:ascii="Arial" w:hAnsi="Arial" w:cs="Arial"/>
          <w:sz w:val="24"/>
          <w:szCs w:val="24"/>
        </w:rPr>
        <w:t xml:space="preserve">ourt of </w:t>
      </w:r>
      <w:r w:rsidR="00776F58" w:rsidRPr="00495F14">
        <w:rPr>
          <w:rFonts w:ascii="Arial" w:hAnsi="Arial" w:cs="Arial"/>
          <w:sz w:val="24"/>
          <w:szCs w:val="24"/>
        </w:rPr>
        <w:t>A</w:t>
      </w:r>
      <w:r w:rsidR="00100DD3" w:rsidRPr="00495F14">
        <w:rPr>
          <w:rFonts w:ascii="Arial" w:hAnsi="Arial" w:cs="Arial"/>
          <w:sz w:val="24"/>
          <w:szCs w:val="24"/>
        </w:rPr>
        <w:t>ppeal, though admitting that article 8 might be engaged</w:t>
      </w:r>
      <w:r w:rsidR="00453A53" w:rsidRPr="00495F14">
        <w:rPr>
          <w:rStyle w:val="FootnoteReference"/>
          <w:rFonts w:ascii="Arial" w:hAnsi="Arial" w:cs="Arial"/>
          <w:sz w:val="24"/>
          <w:szCs w:val="24"/>
        </w:rPr>
        <w:footnoteReference w:id="36"/>
      </w:r>
      <w:r w:rsidR="00100DD3" w:rsidRPr="00495F14">
        <w:rPr>
          <w:rFonts w:ascii="Arial" w:hAnsi="Arial" w:cs="Arial"/>
          <w:sz w:val="24"/>
          <w:szCs w:val="24"/>
        </w:rPr>
        <w:t xml:space="preserve">, held that </w:t>
      </w:r>
      <w:r w:rsidR="00453A53" w:rsidRPr="00495F14">
        <w:rPr>
          <w:rFonts w:ascii="Arial" w:hAnsi="Arial" w:cs="Arial"/>
          <w:sz w:val="24"/>
          <w:szCs w:val="24"/>
        </w:rPr>
        <w:t xml:space="preserve">section </w:t>
      </w:r>
      <w:r w:rsidR="000079E4" w:rsidRPr="00495F14">
        <w:rPr>
          <w:rFonts w:ascii="Arial" w:hAnsi="Arial" w:cs="Arial"/>
          <w:sz w:val="24"/>
          <w:szCs w:val="24"/>
        </w:rPr>
        <w:t xml:space="preserve">60 did not interfere with article </w:t>
      </w:r>
      <w:r w:rsidR="000079E4" w:rsidRPr="00495F14">
        <w:rPr>
          <w:rFonts w:ascii="Arial" w:hAnsi="Arial" w:cs="Arial"/>
          <w:sz w:val="24"/>
          <w:szCs w:val="24"/>
        </w:rPr>
        <w:lastRenderedPageBreak/>
        <w:t xml:space="preserve">14 </w:t>
      </w:r>
      <w:r w:rsidR="00100DD3" w:rsidRPr="00495F14">
        <w:rPr>
          <w:rFonts w:ascii="Arial" w:hAnsi="Arial" w:cs="Arial"/>
          <w:sz w:val="24"/>
          <w:szCs w:val="24"/>
        </w:rPr>
        <w:t>and dismissed the appeal.</w:t>
      </w:r>
      <w:r w:rsidR="00240F18" w:rsidRPr="00495F14">
        <w:rPr>
          <w:rFonts w:ascii="Arial" w:hAnsi="Arial" w:cs="Arial"/>
          <w:sz w:val="24"/>
          <w:szCs w:val="24"/>
        </w:rPr>
        <w:t xml:space="preserve"> </w:t>
      </w:r>
      <w:r w:rsidR="00B451CF" w:rsidRPr="00495F14">
        <w:rPr>
          <w:rFonts w:ascii="Arial" w:hAnsi="Arial" w:cs="Arial"/>
          <w:sz w:val="24"/>
          <w:szCs w:val="24"/>
        </w:rPr>
        <w:t xml:space="preserve"> </w:t>
      </w:r>
      <w:r w:rsidR="00010536" w:rsidRPr="00495F14">
        <w:rPr>
          <w:rFonts w:ascii="Arial" w:hAnsi="Arial" w:cs="Arial"/>
          <w:sz w:val="24"/>
          <w:szCs w:val="24"/>
        </w:rPr>
        <w:t>Furthermore</w:t>
      </w:r>
      <w:r w:rsidR="00B451CF" w:rsidRPr="00495F14">
        <w:rPr>
          <w:rFonts w:ascii="Arial" w:hAnsi="Arial" w:cs="Arial"/>
          <w:sz w:val="24"/>
          <w:szCs w:val="24"/>
        </w:rPr>
        <w:t>, the High Court</w:t>
      </w:r>
      <w:r w:rsidR="00564429" w:rsidRPr="00495F14">
        <w:rPr>
          <w:rFonts w:ascii="Arial" w:hAnsi="Arial" w:cs="Arial"/>
          <w:sz w:val="24"/>
          <w:szCs w:val="24"/>
        </w:rPr>
        <w:t xml:space="preserve"> in </w:t>
      </w:r>
      <w:r w:rsidR="00564429" w:rsidRPr="00495F14">
        <w:rPr>
          <w:rFonts w:ascii="Arial" w:hAnsi="Arial" w:cs="Arial"/>
          <w:b/>
          <w:i/>
          <w:sz w:val="24"/>
          <w:szCs w:val="24"/>
          <w:u w:val="single"/>
        </w:rPr>
        <w:t>Hicks</w:t>
      </w:r>
      <w:r w:rsidR="00B451CF" w:rsidRPr="00495F14">
        <w:rPr>
          <w:rStyle w:val="FootnoteReference"/>
          <w:rFonts w:ascii="Arial" w:hAnsi="Arial" w:cs="Arial"/>
          <w:sz w:val="24"/>
          <w:szCs w:val="24"/>
        </w:rPr>
        <w:footnoteReference w:id="37"/>
      </w:r>
      <w:r w:rsidR="00B451CF" w:rsidRPr="00495F14">
        <w:rPr>
          <w:rFonts w:ascii="Arial" w:hAnsi="Arial" w:cs="Arial"/>
          <w:sz w:val="24"/>
          <w:szCs w:val="24"/>
        </w:rPr>
        <w:t xml:space="preserve"> </w:t>
      </w:r>
      <w:r w:rsidR="00B2062B" w:rsidRPr="00495F14">
        <w:rPr>
          <w:rFonts w:ascii="Arial" w:hAnsi="Arial" w:cs="Arial"/>
          <w:sz w:val="24"/>
          <w:szCs w:val="24"/>
        </w:rPr>
        <w:t xml:space="preserve">stated </w:t>
      </w:r>
      <w:r w:rsidR="00B451CF" w:rsidRPr="00495F14">
        <w:rPr>
          <w:rFonts w:ascii="Arial" w:hAnsi="Arial" w:cs="Arial"/>
          <w:sz w:val="24"/>
          <w:szCs w:val="24"/>
        </w:rPr>
        <w:t>that police officers had acted lawfully in exercising their powers under section 60</w:t>
      </w:r>
      <w:r w:rsidR="00B451CF" w:rsidRPr="00495F14">
        <w:rPr>
          <w:rStyle w:val="FootnoteReference"/>
          <w:rFonts w:ascii="Arial" w:hAnsi="Arial" w:cs="Arial"/>
          <w:sz w:val="24"/>
          <w:szCs w:val="24"/>
        </w:rPr>
        <w:footnoteReference w:id="38"/>
      </w:r>
      <w:r w:rsidR="00B451CF" w:rsidRPr="00495F14">
        <w:rPr>
          <w:rFonts w:ascii="Arial" w:hAnsi="Arial" w:cs="Arial"/>
          <w:sz w:val="24"/>
          <w:szCs w:val="24"/>
        </w:rPr>
        <w:t xml:space="preserve"> to search any weapons before and during the royal wedding</w:t>
      </w:r>
      <w:r w:rsidR="002C48B3" w:rsidRPr="00495F14">
        <w:rPr>
          <w:rStyle w:val="FootnoteReference"/>
          <w:rFonts w:ascii="Arial" w:hAnsi="Arial" w:cs="Arial"/>
          <w:sz w:val="24"/>
          <w:szCs w:val="24"/>
        </w:rPr>
        <w:footnoteReference w:id="39"/>
      </w:r>
      <w:r w:rsidR="001B0877">
        <w:rPr>
          <w:rFonts w:ascii="Arial" w:hAnsi="Arial" w:cs="Arial"/>
          <w:sz w:val="24"/>
          <w:szCs w:val="24"/>
        </w:rPr>
        <w:t>;</w:t>
      </w:r>
      <w:r w:rsidR="00B451CF" w:rsidRPr="00495F14">
        <w:rPr>
          <w:rFonts w:ascii="Arial" w:hAnsi="Arial" w:cs="Arial"/>
          <w:sz w:val="24"/>
          <w:szCs w:val="24"/>
        </w:rPr>
        <w:t xml:space="preserve"> it dismissed the appeals holding that it was a proportionate interference with article 11</w:t>
      </w:r>
      <w:r w:rsidR="00B5456D" w:rsidRPr="00495F14">
        <w:rPr>
          <w:rStyle w:val="FootnoteReference"/>
          <w:rFonts w:ascii="Arial" w:hAnsi="Arial" w:cs="Arial"/>
          <w:sz w:val="24"/>
          <w:szCs w:val="24"/>
        </w:rPr>
        <w:footnoteReference w:id="40"/>
      </w:r>
      <w:r w:rsidR="00B451CF" w:rsidRPr="00495F14">
        <w:rPr>
          <w:rFonts w:ascii="Arial" w:hAnsi="Arial" w:cs="Arial"/>
          <w:sz w:val="24"/>
          <w:szCs w:val="24"/>
        </w:rPr>
        <w:t xml:space="preserve">. </w:t>
      </w:r>
      <w:r w:rsidR="004534DD" w:rsidRPr="00495F14">
        <w:rPr>
          <w:rFonts w:ascii="Arial" w:hAnsi="Arial" w:cs="Arial"/>
          <w:sz w:val="24"/>
          <w:szCs w:val="24"/>
        </w:rPr>
        <w:t xml:space="preserve">The approach that domestic courts have taken is in sharp contrast to that of the ECtHR. </w:t>
      </w:r>
      <w:r w:rsidR="002D1D9D" w:rsidRPr="00495F14">
        <w:rPr>
          <w:rFonts w:ascii="Arial" w:hAnsi="Arial" w:cs="Arial"/>
          <w:sz w:val="24"/>
          <w:szCs w:val="24"/>
        </w:rPr>
        <w:t>In fact</w:t>
      </w:r>
      <w:r w:rsidR="00B65967" w:rsidRPr="00495F14">
        <w:rPr>
          <w:rFonts w:ascii="Arial" w:hAnsi="Arial" w:cs="Arial"/>
          <w:sz w:val="24"/>
          <w:szCs w:val="24"/>
        </w:rPr>
        <w:t xml:space="preserve">, the </w:t>
      </w:r>
      <w:r w:rsidR="004534DD" w:rsidRPr="00495F14">
        <w:rPr>
          <w:rFonts w:ascii="Arial" w:hAnsi="Arial" w:cs="Arial"/>
          <w:sz w:val="24"/>
          <w:szCs w:val="24"/>
        </w:rPr>
        <w:t>latter court</w:t>
      </w:r>
      <w:r w:rsidR="00B65967" w:rsidRPr="00495F14">
        <w:rPr>
          <w:rFonts w:ascii="Arial" w:hAnsi="Arial" w:cs="Arial"/>
          <w:sz w:val="24"/>
          <w:szCs w:val="24"/>
        </w:rPr>
        <w:t xml:space="preserve"> overruled the House of Lords’ decision in </w:t>
      </w:r>
      <w:r w:rsidR="00B65967" w:rsidRPr="00495F14">
        <w:rPr>
          <w:rFonts w:ascii="Arial" w:hAnsi="Arial" w:cs="Arial"/>
          <w:b/>
          <w:i/>
          <w:sz w:val="24"/>
          <w:szCs w:val="24"/>
          <w:u w:val="single"/>
        </w:rPr>
        <w:t>Gillan</w:t>
      </w:r>
      <w:r w:rsidR="00F2456D">
        <w:rPr>
          <w:rFonts w:ascii="Arial" w:hAnsi="Arial" w:cs="Arial"/>
          <w:sz w:val="24"/>
          <w:szCs w:val="24"/>
        </w:rPr>
        <w:t xml:space="preserve"> on the ground </w:t>
      </w:r>
      <w:r w:rsidR="00057567">
        <w:rPr>
          <w:rFonts w:ascii="Arial" w:hAnsi="Arial" w:cs="Arial"/>
          <w:sz w:val="24"/>
          <w:szCs w:val="24"/>
        </w:rPr>
        <w:t>that t</w:t>
      </w:r>
      <w:r w:rsidR="00B65967" w:rsidRPr="00057567">
        <w:rPr>
          <w:rFonts w:ascii="Arial" w:hAnsi="Arial" w:cs="Arial"/>
          <w:sz w:val="24"/>
          <w:szCs w:val="24"/>
        </w:rPr>
        <w:t>he stop and search procedure under s.</w:t>
      </w:r>
      <w:r w:rsidR="00B65967" w:rsidRPr="00495F14">
        <w:rPr>
          <w:rFonts w:ascii="Arial" w:hAnsi="Arial" w:cs="Arial"/>
          <w:i/>
          <w:sz w:val="24"/>
          <w:szCs w:val="24"/>
        </w:rPr>
        <w:t xml:space="preserve"> 44 </w:t>
      </w:r>
      <w:r w:rsidR="00057567">
        <w:rPr>
          <w:rFonts w:ascii="Arial" w:hAnsi="Arial" w:cs="Arial"/>
          <w:i/>
          <w:sz w:val="24"/>
          <w:szCs w:val="24"/>
        </w:rPr>
        <w:t>“</w:t>
      </w:r>
      <w:r w:rsidR="00B65967" w:rsidRPr="00495F14">
        <w:rPr>
          <w:rFonts w:ascii="Arial" w:hAnsi="Arial" w:cs="Arial"/>
          <w:i/>
          <w:sz w:val="24"/>
          <w:szCs w:val="24"/>
        </w:rPr>
        <w:t>deprived the appellants of their right to private life under article 8</w:t>
      </w:r>
      <w:r w:rsidR="00B65967" w:rsidRPr="00495F14">
        <w:rPr>
          <w:rFonts w:ascii="Arial" w:hAnsi="Arial" w:cs="Arial"/>
          <w:sz w:val="24"/>
          <w:szCs w:val="24"/>
        </w:rPr>
        <w:t>”</w:t>
      </w:r>
      <w:r w:rsidR="00C40217">
        <w:rPr>
          <w:rStyle w:val="FootnoteReference"/>
          <w:rFonts w:ascii="Arial" w:hAnsi="Arial" w:cs="Arial"/>
          <w:sz w:val="24"/>
          <w:szCs w:val="24"/>
        </w:rPr>
        <w:footnoteReference w:id="41"/>
      </w:r>
      <w:r w:rsidR="00B65967" w:rsidRPr="00495F14">
        <w:rPr>
          <w:rFonts w:ascii="Arial" w:hAnsi="Arial" w:cs="Arial"/>
          <w:sz w:val="24"/>
          <w:szCs w:val="24"/>
        </w:rPr>
        <w:t>.</w:t>
      </w:r>
    </w:p>
    <w:p w14:paraId="57EDE67B" w14:textId="77777777" w:rsidR="00CE78DD" w:rsidRDefault="00CE78DD" w:rsidP="00F91605">
      <w:pPr>
        <w:spacing w:line="360" w:lineRule="auto"/>
        <w:ind w:left="1417"/>
        <w:jc w:val="both"/>
        <w:rPr>
          <w:rStyle w:val="searchword"/>
          <w:rFonts w:ascii="Arial" w:hAnsi="Arial" w:cs="Arial"/>
          <w:sz w:val="24"/>
          <w:szCs w:val="24"/>
        </w:rPr>
      </w:pPr>
    </w:p>
    <w:p w14:paraId="5CAFEB34" w14:textId="77777777" w:rsidR="0071180A" w:rsidRDefault="00C22DDA" w:rsidP="00995541">
      <w:pPr>
        <w:spacing w:line="360" w:lineRule="auto"/>
        <w:ind w:left="1417"/>
        <w:jc w:val="both"/>
        <w:rPr>
          <w:rFonts w:ascii="Arial" w:hAnsi="Arial" w:cs="Arial"/>
          <w:sz w:val="24"/>
          <w:szCs w:val="24"/>
        </w:rPr>
      </w:pPr>
      <w:r>
        <w:rPr>
          <w:rFonts w:ascii="Arial" w:hAnsi="Arial" w:cs="Arial"/>
          <w:sz w:val="24"/>
          <w:szCs w:val="24"/>
        </w:rPr>
        <w:t xml:space="preserve">Stop and search powers have been criticised </w:t>
      </w:r>
      <w:r w:rsidR="007017FD">
        <w:rPr>
          <w:rFonts w:ascii="Arial" w:hAnsi="Arial" w:cs="Arial"/>
          <w:sz w:val="24"/>
          <w:szCs w:val="24"/>
        </w:rPr>
        <w:t>for three</w:t>
      </w:r>
      <w:r w:rsidR="0039570B">
        <w:rPr>
          <w:rFonts w:ascii="Arial" w:hAnsi="Arial" w:cs="Arial"/>
          <w:sz w:val="24"/>
          <w:szCs w:val="24"/>
        </w:rPr>
        <w:t xml:space="preserve"> reasons in particular.</w:t>
      </w:r>
      <w:r>
        <w:rPr>
          <w:rFonts w:ascii="Arial" w:hAnsi="Arial" w:cs="Arial"/>
          <w:sz w:val="24"/>
          <w:szCs w:val="24"/>
        </w:rPr>
        <w:t xml:space="preserve"> </w:t>
      </w:r>
      <w:r w:rsidR="00E87748">
        <w:rPr>
          <w:rFonts w:ascii="Arial" w:hAnsi="Arial" w:cs="Arial"/>
          <w:sz w:val="24"/>
          <w:szCs w:val="24"/>
        </w:rPr>
        <w:t>First</w:t>
      </w:r>
      <w:r w:rsidR="0039570B">
        <w:rPr>
          <w:rFonts w:ascii="Arial" w:hAnsi="Arial" w:cs="Arial"/>
          <w:sz w:val="24"/>
          <w:szCs w:val="24"/>
        </w:rPr>
        <w:t xml:space="preserve">, </w:t>
      </w:r>
      <w:r w:rsidR="00286011" w:rsidRPr="00495F14">
        <w:rPr>
          <w:rFonts w:ascii="Arial" w:hAnsi="Arial" w:cs="Arial"/>
          <w:sz w:val="24"/>
          <w:szCs w:val="24"/>
        </w:rPr>
        <w:t>officers’ behaviour</w:t>
      </w:r>
      <w:r w:rsidR="0039570B">
        <w:rPr>
          <w:rFonts w:ascii="Arial" w:hAnsi="Arial" w:cs="Arial"/>
          <w:sz w:val="24"/>
          <w:szCs w:val="24"/>
        </w:rPr>
        <w:t xml:space="preserve"> has </w:t>
      </w:r>
      <w:r w:rsidR="00B641C0">
        <w:rPr>
          <w:rFonts w:ascii="Arial" w:hAnsi="Arial" w:cs="Arial"/>
          <w:sz w:val="24"/>
          <w:szCs w:val="24"/>
        </w:rPr>
        <w:t>raised controversy</w:t>
      </w:r>
      <w:r w:rsidR="00286011" w:rsidRPr="00495F14">
        <w:rPr>
          <w:rFonts w:ascii="Arial" w:hAnsi="Arial" w:cs="Arial"/>
          <w:sz w:val="24"/>
          <w:szCs w:val="24"/>
        </w:rPr>
        <w:t xml:space="preserve">. As </w:t>
      </w:r>
      <w:r w:rsidR="005D147D">
        <w:rPr>
          <w:rFonts w:ascii="Arial" w:hAnsi="Arial" w:cs="Arial"/>
          <w:sz w:val="24"/>
          <w:szCs w:val="24"/>
        </w:rPr>
        <w:t xml:space="preserve">Fiztgerald </w:t>
      </w:r>
      <w:r w:rsidR="00286011" w:rsidRPr="00495F14">
        <w:rPr>
          <w:rFonts w:ascii="Arial" w:hAnsi="Arial" w:cs="Arial"/>
          <w:sz w:val="24"/>
          <w:szCs w:val="24"/>
        </w:rPr>
        <w:t>observed, people felt annoyed either when the police seemed to be impolite or arrogant or when the reasons</w:t>
      </w:r>
      <w:r w:rsidR="00937969" w:rsidRPr="00495F14">
        <w:rPr>
          <w:rFonts w:ascii="Arial" w:hAnsi="Arial" w:cs="Arial"/>
          <w:sz w:val="24"/>
          <w:szCs w:val="24"/>
        </w:rPr>
        <w:t xml:space="preserve"> for the stops were either not provided or simply trivial</w:t>
      </w:r>
      <w:r w:rsidR="00956934" w:rsidRPr="00495F14">
        <w:rPr>
          <w:rStyle w:val="FootnoteReference"/>
          <w:rFonts w:ascii="Arial" w:hAnsi="Arial" w:cs="Arial"/>
          <w:sz w:val="24"/>
          <w:szCs w:val="24"/>
        </w:rPr>
        <w:footnoteReference w:id="42"/>
      </w:r>
      <w:r w:rsidR="00286011" w:rsidRPr="00495F14">
        <w:rPr>
          <w:rFonts w:ascii="Arial" w:hAnsi="Arial" w:cs="Arial"/>
          <w:sz w:val="24"/>
          <w:szCs w:val="24"/>
        </w:rPr>
        <w:t>.</w:t>
      </w:r>
      <w:r w:rsidR="00DE007A">
        <w:rPr>
          <w:rFonts w:ascii="Arial" w:hAnsi="Arial" w:cs="Arial"/>
          <w:sz w:val="24"/>
          <w:szCs w:val="24"/>
        </w:rPr>
        <w:t xml:space="preserve"> On the one hand,</w:t>
      </w:r>
      <w:r w:rsidR="003D5BB0">
        <w:rPr>
          <w:rFonts w:ascii="Arial" w:hAnsi="Arial" w:cs="Arial"/>
          <w:sz w:val="24"/>
          <w:szCs w:val="24"/>
        </w:rPr>
        <w:t xml:space="preserve"> </w:t>
      </w:r>
      <w:r w:rsidR="009A05AA">
        <w:rPr>
          <w:rFonts w:ascii="Arial" w:hAnsi="Arial" w:cs="Arial"/>
          <w:sz w:val="24"/>
          <w:szCs w:val="24"/>
        </w:rPr>
        <w:t>surveys</w:t>
      </w:r>
      <w:r w:rsidR="009A05AA">
        <w:rPr>
          <w:rFonts w:ascii="Arial" w:eastAsia="Times New Roman" w:hAnsi="Arial" w:cs="Arial"/>
          <w:sz w:val="24"/>
          <w:szCs w:val="24"/>
          <w:lang w:eastAsia="it-IT"/>
        </w:rPr>
        <w:t xml:space="preserve"> suggest</w:t>
      </w:r>
      <w:r w:rsidR="00937969" w:rsidRPr="00495F14">
        <w:rPr>
          <w:rFonts w:ascii="Arial" w:eastAsia="Times New Roman" w:hAnsi="Arial" w:cs="Arial"/>
          <w:sz w:val="24"/>
          <w:szCs w:val="24"/>
          <w:lang w:eastAsia="it-IT"/>
        </w:rPr>
        <w:t xml:space="preserve"> that a number of people</w:t>
      </w:r>
      <w:r w:rsidR="009A05AA">
        <w:rPr>
          <w:rFonts w:ascii="Arial" w:eastAsia="Times New Roman" w:hAnsi="Arial" w:cs="Arial"/>
          <w:sz w:val="24"/>
          <w:szCs w:val="24"/>
          <w:lang w:eastAsia="it-IT"/>
        </w:rPr>
        <w:t xml:space="preserve"> considered these powers useful and that </w:t>
      </w:r>
      <w:r w:rsidR="006D1878">
        <w:rPr>
          <w:rFonts w:ascii="Arial" w:eastAsia="Times New Roman" w:hAnsi="Arial" w:cs="Arial"/>
          <w:sz w:val="24"/>
          <w:szCs w:val="24"/>
          <w:lang w:eastAsia="it-IT"/>
        </w:rPr>
        <w:t xml:space="preserve">they </w:t>
      </w:r>
      <w:r w:rsidR="0018495C">
        <w:rPr>
          <w:rFonts w:ascii="Arial" w:eastAsia="Times New Roman" w:hAnsi="Arial" w:cs="Arial"/>
          <w:sz w:val="24"/>
          <w:szCs w:val="24"/>
          <w:lang w:eastAsia="it-IT"/>
        </w:rPr>
        <w:t>did not</w:t>
      </w:r>
      <w:r w:rsidR="0018495C" w:rsidRPr="00495F14">
        <w:rPr>
          <w:rFonts w:ascii="Arial" w:eastAsia="Times New Roman" w:hAnsi="Arial" w:cs="Arial"/>
          <w:sz w:val="24"/>
          <w:szCs w:val="24"/>
          <w:lang w:eastAsia="it-IT"/>
        </w:rPr>
        <w:t xml:space="preserve"> mind undergoing</w:t>
      </w:r>
      <w:r w:rsidR="006D1878">
        <w:rPr>
          <w:rFonts w:ascii="Arial" w:eastAsia="Times New Roman" w:hAnsi="Arial" w:cs="Arial"/>
          <w:sz w:val="24"/>
          <w:szCs w:val="24"/>
          <w:lang w:eastAsia="it-IT"/>
        </w:rPr>
        <w:t xml:space="preserve"> the procedure especially</w:t>
      </w:r>
      <w:r w:rsidR="00937969" w:rsidRPr="00495F14">
        <w:rPr>
          <w:rFonts w:ascii="Arial" w:eastAsia="Times New Roman" w:hAnsi="Arial" w:cs="Arial"/>
          <w:sz w:val="24"/>
          <w:szCs w:val="24"/>
          <w:lang w:eastAsia="it-IT"/>
        </w:rPr>
        <w:t xml:space="preserve"> if they felt that the powers were used in pursuance of good ends</w:t>
      </w:r>
      <w:r w:rsidR="00937969" w:rsidRPr="00495F14">
        <w:rPr>
          <w:rStyle w:val="FootnoteReference"/>
          <w:rFonts w:ascii="Arial" w:eastAsia="Times New Roman" w:hAnsi="Arial" w:cs="Arial"/>
          <w:sz w:val="24"/>
          <w:szCs w:val="24"/>
          <w:lang w:eastAsia="it-IT"/>
        </w:rPr>
        <w:footnoteReference w:id="43"/>
      </w:r>
      <w:r w:rsidR="00937969" w:rsidRPr="00495F14">
        <w:rPr>
          <w:rFonts w:ascii="Arial" w:eastAsia="Times New Roman" w:hAnsi="Arial" w:cs="Arial"/>
          <w:sz w:val="24"/>
          <w:szCs w:val="24"/>
          <w:lang w:eastAsia="it-IT"/>
        </w:rPr>
        <w:t>.</w:t>
      </w:r>
      <w:r w:rsidR="0018495C">
        <w:rPr>
          <w:rFonts w:ascii="Arial" w:eastAsia="Times New Roman" w:hAnsi="Arial" w:cs="Arial"/>
          <w:sz w:val="24"/>
          <w:szCs w:val="24"/>
          <w:lang w:eastAsia="it-IT"/>
        </w:rPr>
        <w:t xml:space="preserve"> </w:t>
      </w:r>
      <w:r w:rsidR="00DE007A">
        <w:rPr>
          <w:rFonts w:ascii="Arial" w:eastAsia="Times New Roman" w:hAnsi="Arial" w:cs="Arial"/>
          <w:sz w:val="24"/>
          <w:szCs w:val="24"/>
          <w:lang w:eastAsia="it-IT"/>
        </w:rPr>
        <w:t>On the other,</w:t>
      </w:r>
      <w:r w:rsidR="00937969" w:rsidRPr="00495F14">
        <w:rPr>
          <w:rFonts w:ascii="Arial" w:eastAsia="Times New Roman" w:hAnsi="Arial" w:cs="Arial"/>
          <w:sz w:val="24"/>
          <w:szCs w:val="24"/>
          <w:lang w:eastAsia="it-IT"/>
        </w:rPr>
        <w:t xml:space="preserve"> s</w:t>
      </w:r>
      <w:r w:rsidR="00C958E8">
        <w:rPr>
          <w:rFonts w:ascii="Arial" w:eastAsia="Times New Roman" w:hAnsi="Arial" w:cs="Arial"/>
          <w:sz w:val="24"/>
          <w:szCs w:val="24"/>
          <w:lang w:eastAsia="it-IT"/>
        </w:rPr>
        <w:t xml:space="preserve">ome perceived that officers </w:t>
      </w:r>
      <w:r w:rsidR="00286569">
        <w:rPr>
          <w:rFonts w:ascii="Arial" w:eastAsia="Times New Roman" w:hAnsi="Arial" w:cs="Arial"/>
          <w:sz w:val="24"/>
          <w:szCs w:val="24"/>
          <w:lang w:eastAsia="it-IT"/>
        </w:rPr>
        <w:t>were</w:t>
      </w:r>
      <w:r w:rsidR="00937969" w:rsidRPr="00495F14">
        <w:rPr>
          <w:rFonts w:ascii="Arial" w:eastAsia="Times New Roman" w:hAnsi="Arial" w:cs="Arial"/>
          <w:sz w:val="24"/>
          <w:szCs w:val="24"/>
          <w:lang w:eastAsia="it-IT"/>
        </w:rPr>
        <w:t xml:space="preserve"> patronising and aggressive in order to cause the suspects to react</w:t>
      </w:r>
      <w:r w:rsidR="00607F6B" w:rsidRPr="00495F14">
        <w:rPr>
          <w:rFonts w:ascii="Arial" w:eastAsia="Times New Roman" w:hAnsi="Arial" w:cs="Arial"/>
          <w:sz w:val="24"/>
          <w:szCs w:val="24"/>
          <w:lang w:eastAsia="it-IT"/>
        </w:rPr>
        <w:t xml:space="preserve"> and arrest them.</w:t>
      </w:r>
      <w:r w:rsidR="00937969" w:rsidRPr="00495F14">
        <w:rPr>
          <w:rFonts w:ascii="Arial" w:eastAsia="Times New Roman" w:hAnsi="Arial" w:cs="Arial"/>
          <w:sz w:val="24"/>
          <w:szCs w:val="24"/>
          <w:lang w:eastAsia="it-IT"/>
        </w:rPr>
        <w:t xml:space="preserve"> </w:t>
      </w:r>
      <w:r w:rsidR="00E87748">
        <w:rPr>
          <w:rFonts w:ascii="Arial" w:eastAsia="Times New Roman" w:hAnsi="Arial" w:cs="Arial"/>
          <w:sz w:val="24"/>
          <w:szCs w:val="24"/>
          <w:lang w:eastAsia="it-IT"/>
        </w:rPr>
        <w:t>Second</w:t>
      </w:r>
      <w:r w:rsidR="006B1076">
        <w:rPr>
          <w:rFonts w:ascii="Arial" w:eastAsia="Times New Roman" w:hAnsi="Arial" w:cs="Arial"/>
          <w:sz w:val="24"/>
          <w:szCs w:val="24"/>
          <w:lang w:eastAsia="it-IT"/>
        </w:rPr>
        <w:t>ly</w:t>
      </w:r>
      <w:r w:rsidR="00DE007A">
        <w:rPr>
          <w:rFonts w:ascii="Arial" w:eastAsia="Times New Roman" w:hAnsi="Arial" w:cs="Arial"/>
          <w:sz w:val="24"/>
          <w:szCs w:val="24"/>
          <w:lang w:eastAsia="it-IT"/>
        </w:rPr>
        <w:t xml:space="preserve">, people claim </w:t>
      </w:r>
      <w:r w:rsidR="00607F6B" w:rsidRPr="00495F14">
        <w:rPr>
          <w:rFonts w:ascii="Arial" w:eastAsia="Times New Roman" w:hAnsi="Arial" w:cs="Arial"/>
          <w:sz w:val="24"/>
          <w:szCs w:val="24"/>
          <w:lang w:eastAsia="it-IT"/>
        </w:rPr>
        <w:t>that powers were exercised in a discriminatory way</w:t>
      </w:r>
      <w:r w:rsidR="00650184" w:rsidRPr="00495F14">
        <w:rPr>
          <w:rFonts w:ascii="Arial" w:eastAsia="Times New Roman" w:hAnsi="Arial" w:cs="Arial"/>
          <w:sz w:val="24"/>
          <w:szCs w:val="24"/>
          <w:lang w:eastAsia="it-IT"/>
        </w:rPr>
        <w:t xml:space="preserve">.  As a result, </w:t>
      </w:r>
      <w:r w:rsidR="002E3E5F" w:rsidRPr="00495F14">
        <w:rPr>
          <w:rFonts w:ascii="Arial" w:eastAsia="Times New Roman" w:hAnsi="Arial" w:cs="Arial"/>
          <w:sz w:val="24"/>
          <w:szCs w:val="24"/>
          <w:lang w:eastAsia="it-IT"/>
        </w:rPr>
        <w:t>ethnic minorities</w:t>
      </w:r>
      <w:r w:rsidR="00C958E8">
        <w:rPr>
          <w:rFonts w:ascii="Arial" w:eastAsia="Times New Roman" w:hAnsi="Arial" w:cs="Arial"/>
          <w:sz w:val="24"/>
          <w:szCs w:val="24"/>
          <w:lang w:eastAsia="it-IT"/>
        </w:rPr>
        <w:t xml:space="preserve"> have lost</w:t>
      </w:r>
      <w:r w:rsidR="00675FDB" w:rsidRPr="00495F14">
        <w:rPr>
          <w:rFonts w:ascii="Arial" w:eastAsia="Times New Roman" w:hAnsi="Arial" w:cs="Arial"/>
          <w:sz w:val="24"/>
          <w:szCs w:val="24"/>
          <w:lang w:eastAsia="it-IT"/>
        </w:rPr>
        <w:t xml:space="preserve"> confidence in the police</w:t>
      </w:r>
      <w:r w:rsidR="00675FDB" w:rsidRPr="00495F14">
        <w:rPr>
          <w:rStyle w:val="FootnoteReference"/>
          <w:rFonts w:ascii="Arial" w:eastAsia="Times New Roman" w:hAnsi="Arial" w:cs="Arial"/>
          <w:sz w:val="24"/>
          <w:szCs w:val="24"/>
          <w:lang w:eastAsia="it-IT"/>
        </w:rPr>
        <w:footnoteReference w:id="44"/>
      </w:r>
      <w:r w:rsidR="00675FDB" w:rsidRPr="00495F14">
        <w:rPr>
          <w:rFonts w:ascii="Arial" w:eastAsia="Times New Roman" w:hAnsi="Arial" w:cs="Arial"/>
          <w:sz w:val="24"/>
          <w:szCs w:val="24"/>
          <w:lang w:eastAsia="it-IT"/>
        </w:rPr>
        <w:t>.</w:t>
      </w:r>
      <w:r w:rsidR="00EE5841" w:rsidRPr="00495F14">
        <w:rPr>
          <w:rFonts w:ascii="Arial" w:eastAsia="Times New Roman" w:hAnsi="Arial" w:cs="Arial"/>
          <w:sz w:val="24"/>
          <w:szCs w:val="24"/>
          <w:lang w:eastAsia="it-IT"/>
        </w:rPr>
        <w:t xml:space="preserve"> </w:t>
      </w:r>
      <w:r w:rsidR="00675FDB" w:rsidRPr="00495F14">
        <w:rPr>
          <w:rFonts w:ascii="Arial" w:hAnsi="Arial" w:cs="Arial"/>
          <w:sz w:val="24"/>
          <w:szCs w:val="24"/>
        </w:rPr>
        <w:t>After July 2005, Azad Ali</w:t>
      </w:r>
      <w:r w:rsidR="00675FDB" w:rsidRPr="00495F14">
        <w:rPr>
          <w:rFonts w:ascii="Arial" w:hAnsi="Arial" w:cs="Arial"/>
          <w:sz w:val="24"/>
          <w:szCs w:val="24"/>
          <w:vertAlign w:val="superscript"/>
        </w:rPr>
        <w:footnoteReference w:id="45"/>
      </w:r>
      <w:r w:rsidR="00675FDB" w:rsidRPr="00495F14">
        <w:rPr>
          <w:rFonts w:ascii="Arial" w:hAnsi="Arial" w:cs="Arial"/>
          <w:sz w:val="24"/>
          <w:szCs w:val="24"/>
        </w:rPr>
        <w:t xml:space="preserve"> stated that the situation </w:t>
      </w:r>
      <w:r w:rsidR="00675FDB" w:rsidRPr="00495F14">
        <w:rPr>
          <w:rFonts w:ascii="Arial" w:hAnsi="Arial" w:cs="Arial"/>
          <w:i/>
          <w:sz w:val="24"/>
          <w:szCs w:val="24"/>
        </w:rPr>
        <w:t>“…</w:t>
      </w:r>
      <w:r w:rsidR="000F14B3">
        <w:rPr>
          <w:rFonts w:ascii="Arial" w:hAnsi="Arial" w:cs="Arial"/>
          <w:i/>
          <w:sz w:val="24"/>
          <w:szCs w:val="24"/>
        </w:rPr>
        <w:t xml:space="preserve"> </w:t>
      </w:r>
      <w:r w:rsidR="00675FDB" w:rsidRPr="00495F14">
        <w:rPr>
          <w:rFonts w:ascii="Arial" w:hAnsi="Arial" w:cs="Arial"/>
          <w:i/>
          <w:sz w:val="24"/>
          <w:szCs w:val="24"/>
        </w:rPr>
        <w:t>[</w:t>
      </w:r>
      <w:r w:rsidR="002229E3" w:rsidRPr="00495F14">
        <w:rPr>
          <w:rFonts w:ascii="Arial" w:hAnsi="Arial" w:cs="Arial"/>
          <w:i/>
          <w:sz w:val="24"/>
          <w:szCs w:val="24"/>
        </w:rPr>
        <w:t>Did</w:t>
      </w:r>
      <w:r w:rsidR="00675FDB" w:rsidRPr="00495F14">
        <w:rPr>
          <w:rFonts w:ascii="Arial" w:hAnsi="Arial" w:cs="Arial"/>
          <w:i/>
          <w:sz w:val="24"/>
          <w:szCs w:val="24"/>
        </w:rPr>
        <w:t>] not look like intelligence-led…</w:t>
      </w:r>
      <w:r w:rsidR="0040548E">
        <w:rPr>
          <w:rFonts w:ascii="Arial" w:hAnsi="Arial" w:cs="Arial"/>
          <w:i/>
          <w:sz w:val="24"/>
          <w:szCs w:val="24"/>
        </w:rPr>
        <w:t xml:space="preserve"> </w:t>
      </w:r>
      <w:r w:rsidR="002872EB">
        <w:rPr>
          <w:rFonts w:ascii="Arial" w:hAnsi="Arial" w:cs="Arial"/>
          <w:i/>
          <w:sz w:val="24"/>
          <w:szCs w:val="24"/>
        </w:rPr>
        <w:t>[I</w:t>
      </w:r>
      <w:r w:rsidR="00675FDB" w:rsidRPr="00495F14">
        <w:rPr>
          <w:rFonts w:ascii="Arial" w:hAnsi="Arial" w:cs="Arial"/>
          <w:i/>
          <w:sz w:val="24"/>
          <w:szCs w:val="24"/>
        </w:rPr>
        <w:t>t] is disproportionate on an unacceptable scale”</w:t>
      </w:r>
      <w:r w:rsidR="00A53461">
        <w:rPr>
          <w:rStyle w:val="FootnoteReference"/>
          <w:rFonts w:ascii="Arial" w:hAnsi="Arial" w:cs="Arial"/>
          <w:i/>
          <w:sz w:val="24"/>
          <w:szCs w:val="24"/>
        </w:rPr>
        <w:footnoteReference w:id="46"/>
      </w:r>
      <w:r w:rsidR="00675FDB" w:rsidRPr="00495F14">
        <w:rPr>
          <w:rFonts w:ascii="Arial" w:hAnsi="Arial" w:cs="Arial"/>
          <w:sz w:val="24"/>
          <w:szCs w:val="24"/>
        </w:rPr>
        <w:t>.</w:t>
      </w:r>
      <w:r w:rsidR="00732470" w:rsidRPr="00495F14">
        <w:rPr>
          <w:rFonts w:ascii="Arial" w:hAnsi="Arial" w:cs="Arial"/>
          <w:sz w:val="24"/>
          <w:szCs w:val="24"/>
        </w:rPr>
        <w:t xml:space="preserve"> It has been estimated that policemen stopped and searched more than one million citizens between </w:t>
      </w:r>
      <w:r w:rsidR="00732470" w:rsidRPr="00495F14">
        <w:rPr>
          <w:rFonts w:ascii="Arial" w:hAnsi="Arial" w:cs="Arial"/>
          <w:sz w:val="24"/>
          <w:szCs w:val="24"/>
        </w:rPr>
        <w:lastRenderedPageBreak/>
        <w:t>2007 and 2008</w:t>
      </w:r>
      <w:r w:rsidR="00732470" w:rsidRPr="00495F14">
        <w:rPr>
          <w:rStyle w:val="FootnoteReference"/>
          <w:rFonts w:ascii="Arial" w:hAnsi="Arial" w:cs="Arial"/>
          <w:sz w:val="24"/>
          <w:szCs w:val="24"/>
        </w:rPr>
        <w:footnoteReference w:id="47"/>
      </w:r>
      <w:r>
        <w:rPr>
          <w:rFonts w:ascii="Arial" w:hAnsi="Arial" w:cs="Arial"/>
          <w:sz w:val="24"/>
          <w:szCs w:val="24"/>
        </w:rPr>
        <w:t xml:space="preserve">. </w:t>
      </w:r>
      <w:r w:rsidR="00732470" w:rsidRPr="00495F14">
        <w:rPr>
          <w:rFonts w:ascii="Arial" w:hAnsi="Arial" w:cs="Arial"/>
          <w:sz w:val="24"/>
          <w:szCs w:val="24"/>
        </w:rPr>
        <w:t>About 85% of the operations were carried out relying on section 1 of the Pace Code A, whereas a mere 117.000 individuals were stopped or searched under section 44</w:t>
      </w:r>
      <w:r w:rsidR="00732470" w:rsidRPr="00495F14">
        <w:rPr>
          <w:rStyle w:val="FootnoteReference"/>
          <w:rFonts w:ascii="Arial" w:hAnsi="Arial" w:cs="Arial"/>
          <w:sz w:val="24"/>
          <w:szCs w:val="24"/>
        </w:rPr>
        <w:footnoteReference w:id="48"/>
      </w:r>
      <w:r w:rsidR="00732470" w:rsidRPr="00495F14">
        <w:rPr>
          <w:rFonts w:ascii="Arial" w:hAnsi="Arial" w:cs="Arial"/>
          <w:sz w:val="24"/>
          <w:szCs w:val="24"/>
        </w:rPr>
        <w:t xml:space="preserve">. </w:t>
      </w:r>
      <w:r w:rsidRPr="00A877C1">
        <w:rPr>
          <w:rFonts w:ascii="Arial" w:hAnsi="Arial" w:cs="Arial"/>
          <w:sz w:val="24"/>
          <w:szCs w:val="24"/>
        </w:rPr>
        <w:t xml:space="preserve">As the </w:t>
      </w:r>
      <w:r w:rsidR="00732470" w:rsidRPr="00A877C1">
        <w:rPr>
          <w:rFonts w:ascii="Arial" w:hAnsi="Arial" w:cs="Arial"/>
          <w:sz w:val="24"/>
          <w:szCs w:val="24"/>
        </w:rPr>
        <w:t>population was circa 55 million in 2008</w:t>
      </w:r>
      <w:r w:rsidR="00732470" w:rsidRPr="00A877C1">
        <w:rPr>
          <w:rStyle w:val="FootnoteReference"/>
          <w:rFonts w:ascii="Arial" w:hAnsi="Arial" w:cs="Arial"/>
          <w:sz w:val="24"/>
          <w:szCs w:val="24"/>
        </w:rPr>
        <w:footnoteReference w:id="49"/>
      </w:r>
      <w:r w:rsidR="00732470" w:rsidRPr="00A877C1">
        <w:rPr>
          <w:rFonts w:ascii="Arial" w:hAnsi="Arial" w:cs="Arial"/>
          <w:sz w:val="24"/>
          <w:szCs w:val="24"/>
        </w:rPr>
        <w:t xml:space="preserve">, </w:t>
      </w:r>
      <w:r w:rsidR="000A69A1" w:rsidRPr="00A877C1">
        <w:rPr>
          <w:rFonts w:ascii="Arial" w:hAnsi="Arial" w:cs="Arial"/>
          <w:sz w:val="24"/>
          <w:szCs w:val="24"/>
        </w:rPr>
        <w:t>this means</w:t>
      </w:r>
      <w:r w:rsidR="00732470" w:rsidRPr="00A877C1">
        <w:rPr>
          <w:rFonts w:ascii="Arial" w:hAnsi="Arial" w:cs="Arial"/>
          <w:sz w:val="24"/>
          <w:szCs w:val="24"/>
        </w:rPr>
        <w:t xml:space="preserve"> that less tha</w:t>
      </w:r>
      <w:r w:rsidR="007C732A">
        <w:rPr>
          <w:rFonts w:ascii="Arial" w:hAnsi="Arial" w:cs="Arial"/>
          <w:sz w:val="24"/>
          <w:szCs w:val="24"/>
        </w:rPr>
        <w:t>n 2% of the citizenry faced the</w:t>
      </w:r>
      <w:r w:rsidR="00732470" w:rsidRPr="00A877C1">
        <w:rPr>
          <w:rFonts w:ascii="Arial" w:hAnsi="Arial" w:cs="Arial"/>
          <w:sz w:val="24"/>
          <w:szCs w:val="24"/>
        </w:rPr>
        <w:t xml:space="preserve"> procedure. </w:t>
      </w:r>
      <w:r w:rsidR="00DA3766" w:rsidRPr="00A877C1">
        <w:rPr>
          <w:rFonts w:ascii="Arial" w:hAnsi="Arial" w:cs="Arial"/>
          <w:sz w:val="24"/>
          <w:szCs w:val="24"/>
        </w:rPr>
        <w:t>However, white people</w:t>
      </w:r>
      <w:r w:rsidR="00732470" w:rsidRPr="00A877C1">
        <w:rPr>
          <w:rFonts w:ascii="Arial" w:hAnsi="Arial" w:cs="Arial"/>
          <w:sz w:val="24"/>
          <w:szCs w:val="24"/>
        </w:rPr>
        <w:t xml:space="preserve"> were almost eight time less likely to </w:t>
      </w:r>
      <w:r w:rsidR="00DA3766" w:rsidRPr="00A877C1">
        <w:rPr>
          <w:rFonts w:ascii="Arial" w:hAnsi="Arial" w:cs="Arial"/>
          <w:sz w:val="24"/>
          <w:szCs w:val="24"/>
        </w:rPr>
        <w:t xml:space="preserve">be stopped </w:t>
      </w:r>
      <w:r w:rsidR="00732470" w:rsidRPr="00A877C1">
        <w:rPr>
          <w:rFonts w:ascii="Arial" w:hAnsi="Arial" w:cs="Arial"/>
          <w:sz w:val="24"/>
          <w:szCs w:val="24"/>
        </w:rPr>
        <w:t>than black people</w:t>
      </w:r>
      <w:r w:rsidR="00732470" w:rsidRPr="00A877C1">
        <w:rPr>
          <w:rStyle w:val="FootnoteReference"/>
          <w:rFonts w:ascii="Arial" w:hAnsi="Arial" w:cs="Arial"/>
          <w:sz w:val="24"/>
          <w:szCs w:val="24"/>
        </w:rPr>
        <w:footnoteReference w:id="50"/>
      </w:r>
      <w:r w:rsidR="00732470" w:rsidRPr="00A877C1">
        <w:rPr>
          <w:rFonts w:ascii="Arial" w:hAnsi="Arial" w:cs="Arial"/>
          <w:sz w:val="24"/>
          <w:szCs w:val="24"/>
        </w:rPr>
        <w:t>.</w:t>
      </w:r>
      <w:r w:rsidR="00732470" w:rsidRPr="00495F14">
        <w:rPr>
          <w:rFonts w:ascii="Arial" w:hAnsi="Arial" w:cs="Arial"/>
          <w:sz w:val="24"/>
          <w:szCs w:val="24"/>
        </w:rPr>
        <w:t xml:space="preserve"> </w:t>
      </w:r>
      <w:r w:rsidR="000C45F8">
        <w:rPr>
          <w:rFonts w:ascii="Arial" w:hAnsi="Arial" w:cs="Arial"/>
          <w:sz w:val="24"/>
          <w:szCs w:val="24"/>
        </w:rPr>
        <w:t xml:space="preserve">Taking into account resident population numbers are extremely disproportionate, whereas </w:t>
      </w:r>
      <w:r w:rsidR="00E730E6" w:rsidRPr="00495F14">
        <w:rPr>
          <w:rFonts w:ascii="Arial" w:hAnsi="Arial" w:cs="Arial"/>
          <w:sz w:val="24"/>
          <w:szCs w:val="24"/>
        </w:rPr>
        <w:t>figures</w:t>
      </w:r>
      <w:r w:rsidR="00BF2C17">
        <w:rPr>
          <w:rFonts w:ascii="Arial" w:hAnsi="Arial" w:cs="Arial"/>
          <w:sz w:val="24"/>
          <w:szCs w:val="24"/>
        </w:rPr>
        <w:t xml:space="preserve"> compared</w:t>
      </w:r>
      <w:r w:rsidR="00E730E6" w:rsidRPr="00495F14">
        <w:rPr>
          <w:rFonts w:ascii="Arial" w:hAnsi="Arial" w:cs="Arial"/>
          <w:sz w:val="24"/>
          <w:szCs w:val="24"/>
        </w:rPr>
        <w:t xml:space="preserve"> with </w:t>
      </w:r>
      <w:r w:rsidR="00A77841">
        <w:rPr>
          <w:rFonts w:ascii="Arial" w:hAnsi="Arial" w:cs="Arial"/>
          <w:sz w:val="24"/>
          <w:szCs w:val="24"/>
        </w:rPr>
        <w:t xml:space="preserve">the available populace </w:t>
      </w:r>
      <w:r w:rsidR="000C45F8">
        <w:rPr>
          <w:rFonts w:ascii="Arial" w:hAnsi="Arial" w:cs="Arial"/>
          <w:sz w:val="24"/>
          <w:szCs w:val="24"/>
        </w:rPr>
        <w:t>provide more reasonable results. In fact, the criterion of availability</w:t>
      </w:r>
      <w:r w:rsidR="00E730E6" w:rsidRPr="00495F14">
        <w:rPr>
          <w:rFonts w:ascii="Arial" w:hAnsi="Arial" w:cs="Arial"/>
          <w:sz w:val="24"/>
          <w:szCs w:val="24"/>
        </w:rPr>
        <w:t xml:space="preserve"> </w:t>
      </w:r>
      <w:r w:rsidR="000C45F8">
        <w:rPr>
          <w:rFonts w:ascii="Arial" w:hAnsi="Arial" w:cs="Arial"/>
          <w:sz w:val="24"/>
          <w:szCs w:val="24"/>
        </w:rPr>
        <w:t>includes factors</w:t>
      </w:r>
      <w:r w:rsidR="00441A60" w:rsidRPr="00495F14">
        <w:rPr>
          <w:rFonts w:ascii="Arial" w:hAnsi="Arial" w:cs="Arial"/>
          <w:sz w:val="24"/>
          <w:szCs w:val="24"/>
        </w:rPr>
        <w:t xml:space="preserve"> such as unemployment, homelessness and crime rates</w:t>
      </w:r>
      <w:r w:rsidR="00141E82">
        <w:rPr>
          <w:rStyle w:val="FootnoteReference"/>
          <w:rFonts w:ascii="Arial" w:hAnsi="Arial" w:cs="Arial"/>
          <w:sz w:val="24"/>
          <w:szCs w:val="24"/>
        </w:rPr>
        <w:footnoteReference w:id="51"/>
      </w:r>
      <w:r w:rsidR="000C45F8">
        <w:rPr>
          <w:rFonts w:ascii="Arial" w:hAnsi="Arial" w:cs="Arial"/>
          <w:sz w:val="24"/>
          <w:szCs w:val="24"/>
        </w:rPr>
        <w:t>.</w:t>
      </w:r>
      <w:r w:rsidR="00441A60" w:rsidRPr="00495F14">
        <w:rPr>
          <w:rFonts w:ascii="Arial" w:hAnsi="Arial" w:cs="Arial"/>
          <w:sz w:val="24"/>
          <w:szCs w:val="24"/>
        </w:rPr>
        <w:t xml:space="preserve"> </w:t>
      </w:r>
      <w:r w:rsidR="005B4223">
        <w:rPr>
          <w:rFonts w:ascii="Arial" w:hAnsi="Arial" w:cs="Arial"/>
          <w:sz w:val="24"/>
          <w:szCs w:val="24"/>
        </w:rPr>
        <w:t>Nonetheless, minorities are</w:t>
      </w:r>
      <w:r w:rsidR="000C45F8">
        <w:rPr>
          <w:rFonts w:ascii="Arial" w:hAnsi="Arial" w:cs="Arial"/>
          <w:sz w:val="24"/>
          <w:szCs w:val="24"/>
        </w:rPr>
        <w:t xml:space="preserve"> still more exposed and </w:t>
      </w:r>
      <w:r w:rsidR="007B5E5D" w:rsidRPr="00495F14">
        <w:rPr>
          <w:rFonts w:ascii="Arial" w:hAnsi="Arial" w:cs="Arial"/>
          <w:sz w:val="24"/>
          <w:szCs w:val="24"/>
        </w:rPr>
        <w:t>dis</w:t>
      </w:r>
      <w:r w:rsidR="00675FDB" w:rsidRPr="00495F14">
        <w:rPr>
          <w:rFonts w:ascii="Arial" w:hAnsi="Arial" w:cs="Arial"/>
          <w:sz w:val="24"/>
          <w:szCs w:val="24"/>
        </w:rPr>
        <w:t>crimination should simply not occur</w:t>
      </w:r>
      <w:r w:rsidR="007B5E5D" w:rsidRPr="00495F14">
        <w:rPr>
          <w:rStyle w:val="FootnoteReference"/>
          <w:rFonts w:ascii="Arial" w:hAnsi="Arial" w:cs="Arial"/>
          <w:sz w:val="24"/>
          <w:szCs w:val="24"/>
        </w:rPr>
        <w:footnoteReference w:id="52"/>
      </w:r>
      <w:r w:rsidR="00DF67C4" w:rsidRPr="00495F14">
        <w:rPr>
          <w:rFonts w:ascii="Arial" w:hAnsi="Arial" w:cs="Arial"/>
          <w:sz w:val="24"/>
          <w:szCs w:val="24"/>
        </w:rPr>
        <w:t xml:space="preserve">, as it is </w:t>
      </w:r>
      <w:r w:rsidR="007D7B4A" w:rsidRPr="00495F14">
        <w:rPr>
          <w:rFonts w:ascii="Arial" w:hAnsi="Arial" w:cs="Arial"/>
          <w:sz w:val="24"/>
          <w:szCs w:val="24"/>
        </w:rPr>
        <w:t xml:space="preserve">prohibited both </w:t>
      </w:r>
      <w:r w:rsidR="00C66C2C" w:rsidRPr="00495F14">
        <w:rPr>
          <w:rFonts w:ascii="Arial" w:hAnsi="Arial" w:cs="Arial"/>
          <w:sz w:val="24"/>
          <w:szCs w:val="24"/>
        </w:rPr>
        <w:t>under the RRA</w:t>
      </w:r>
      <w:r w:rsidR="007D7B4A" w:rsidRPr="00495F14">
        <w:rPr>
          <w:rFonts w:ascii="Arial" w:hAnsi="Arial" w:cs="Arial"/>
          <w:sz w:val="24"/>
          <w:szCs w:val="24"/>
        </w:rPr>
        <w:t xml:space="preserve"> 1976</w:t>
      </w:r>
      <w:r w:rsidR="007D7B4A" w:rsidRPr="00495F14">
        <w:rPr>
          <w:rStyle w:val="FootnoteReference"/>
          <w:rFonts w:ascii="Arial" w:hAnsi="Arial" w:cs="Arial"/>
          <w:sz w:val="24"/>
          <w:szCs w:val="24"/>
        </w:rPr>
        <w:footnoteReference w:id="53"/>
      </w:r>
      <w:r w:rsidR="007D7B4A" w:rsidRPr="00495F14">
        <w:rPr>
          <w:rFonts w:ascii="Arial" w:hAnsi="Arial" w:cs="Arial"/>
          <w:sz w:val="24"/>
          <w:szCs w:val="24"/>
        </w:rPr>
        <w:t xml:space="preserve"> and under the HRA</w:t>
      </w:r>
      <w:r w:rsidR="00A21A44" w:rsidRPr="00495F14">
        <w:rPr>
          <w:rFonts w:ascii="Arial" w:hAnsi="Arial" w:cs="Arial"/>
          <w:sz w:val="24"/>
          <w:szCs w:val="24"/>
        </w:rPr>
        <w:t xml:space="preserve"> 1998</w:t>
      </w:r>
      <w:r w:rsidR="007D7B4A" w:rsidRPr="00495F14">
        <w:rPr>
          <w:rStyle w:val="FootnoteReference"/>
          <w:rFonts w:ascii="Arial" w:hAnsi="Arial" w:cs="Arial"/>
          <w:sz w:val="24"/>
          <w:szCs w:val="24"/>
        </w:rPr>
        <w:footnoteReference w:id="54"/>
      </w:r>
      <w:r w:rsidR="007D7B4A" w:rsidRPr="00495F14">
        <w:rPr>
          <w:rFonts w:ascii="Arial" w:hAnsi="Arial" w:cs="Arial"/>
          <w:sz w:val="24"/>
          <w:szCs w:val="24"/>
        </w:rPr>
        <w:t>.</w:t>
      </w:r>
      <w:r w:rsidR="00675FDB" w:rsidRPr="00495F14">
        <w:rPr>
          <w:rFonts w:ascii="Arial" w:hAnsi="Arial" w:cs="Arial"/>
          <w:sz w:val="24"/>
          <w:szCs w:val="24"/>
        </w:rPr>
        <w:t xml:space="preserve"> </w:t>
      </w:r>
      <w:r w:rsidR="00DF67C4" w:rsidRPr="00495F14">
        <w:rPr>
          <w:rFonts w:ascii="Arial" w:hAnsi="Arial" w:cs="Arial"/>
          <w:sz w:val="24"/>
          <w:szCs w:val="24"/>
        </w:rPr>
        <w:t>Similarly</w:t>
      </w:r>
      <w:r w:rsidR="00675FDB" w:rsidRPr="00495F14">
        <w:rPr>
          <w:rFonts w:ascii="Arial" w:hAnsi="Arial" w:cs="Arial"/>
          <w:sz w:val="24"/>
          <w:szCs w:val="24"/>
        </w:rPr>
        <w:t xml:space="preserve">, </w:t>
      </w:r>
      <w:r w:rsidR="00AF1996">
        <w:rPr>
          <w:rFonts w:ascii="Arial" w:hAnsi="Arial" w:cs="Arial"/>
          <w:sz w:val="24"/>
          <w:szCs w:val="24"/>
        </w:rPr>
        <w:t xml:space="preserve">it is common knowledge that </w:t>
      </w:r>
      <w:r w:rsidR="00675FDB" w:rsidRPr="00495F14">
        <w:rPr>
          <w:rFonts w:ascii="Arial" w:hAnsi="Arial" w:cs="Arial"/>
          <w:sz w:val="24"/>
          <w:szCs w:val="24"/>
        </w:rPr>
        <w:t xml:space="preserve">minorities </w:t>
      </w:r>
      <w:r w:rsidR="00946A87" w:rsidRPr="00495F14">
        <w:rPr>
          <w:rFonts w:ascii="Arial" w:hAnsi="Arial" w:cs="Arial"/>
          <w:sz w:val="24"/>
          <w:szCs w:val="24"/>
        </w:rPr>
        <w:t>should be treated cautiously</w:t>
      </w:r>
      <w:r w:rsidR="00DF67C4" w:rsidRPr="00495F14">
        <w:rPr>
          <w:rStyle w:val="FootnoteReference"/>
          <w:rFonts w:ascii="Arial" w:hAnsi="Arial" w:cs="Arial"/>
          <w:sz w:val="24"/>
          <w:szCs w:val="24"/>
        </w:rPr>
        <w:footnoteReference w:id="55"/>
      </w:r>
      <w:r w:rsidR="00946A87" w:rsidRPr="00495F14">
        <w:rPr>
          <w:rFonts w:ascii="Arial" w:hAnsi="Arial" w:cs="Arial"/>
          <w:sz w:val="24"/>
          <w:szCs w:val="24"/>
        </w:rPr>
        <w:t>.</w:t>
      </w:r>
      <w:r w:rsidR="007017FD">
        <w:rPr>
          <w:rFonts w:ascii="Arial" w:hAnsi="Arial" w:cs="Arial"/>
          <w:sz w:val="24"/>
          <w:szCs w:val="24"/>
        </w:rPr>
        <w:t xml:space="preserve"> Thirdly, statistics show</w:t>
      </w:r>
      <w:r w:rsidR="00C879C4">
        <w:rPr>
          <w:rFonts w:ascii="Arial" w:hAnsi="Arial" w:cs="Arial"/>
          <w:sz w:val="24"/>
          <w:szCs w:val="24"/>
        </w:rPr>
        <w:t>ed</w:t>
      </w:r>
      <w:r w:rsidR="007017FD">
        <w:rPr>
          <w:rFonts w:ascii="Arial" w:hAnsi="Arial" w:cs="Arial"/>
          <w:sz w:val="24"/>
          <w:szCs w:val="24"/>
        </w:rPr>
        <w:t xml:space="preserve"> that thes</w:t>
      </w:r>
      <w:r w:rsidR="002F6C67">
        <w:rPr>
          <w:rFonts w:ascii="Arial" w:hAnsi="Arial" w:cs="Arial"/>
          <w:sz w:val="24"/>
          <w:szCs w:val="24"/>
        </w:rPr>
        <w:t>e powers were quite ineffective and thus time-consuming.</w:t>
      </w:r>
      <w:r w:rsidR="007017FD">
        <w:rPr>
          <w:rFonts w:ascii="Arial" w:hAnsi="Arial" w:cs="Arial"/>
          <w:sz w:val="24"/>
          <w:szCs w:val="24"/>
        </w:rPr>
        <w:t xml:space="preserve"> </w:t>
      </w:r>
      <w:r w:rsidR="00B90D30">
        <w:rPr>
          <w:rFonts w:ascii="Arial" w:hAnsi="Arial" w:cs="Arial"/>
          <w:sz w:val="24"/>
          <w:szCs w:val="24"/>
        </w:rPr>
        <w:t>I</w:t>
      </w:r>
      <w:r w:rsidR="007017FD">
        <w:rPr>
          <w:rFonts w:ascii="Arial" w:hAnsi="Arial" w:cs="Arial"/>
          <w:sz w:val="24"/>
          <w:szCs w:val="24"/>
        </w:rPr>
        <w:t>n 2004, for instance, only five people</w:t>
      </w:r>
      <w:r w:rsidR="00E419FE">
        <w:rPr>
          <w:rStyle w:val="FootnoteReference"/>
          <w:rFonts w:ascii="Arial" w:hAnsi="Arial" w:cs="Arial"/>
          <w:sz w:val="24"/>
          <w:szCs w:val="24"/>
        </w:rPr>
        <w:footnoteReference w:id="56"/>
      </w:r>
      <w:r w:rsidR="007017FD">
        <w:rPr>
          <w:rFonts w:ascii="Arial" w:hAnsi="Arial" w:cs="Arial"/>
          <w:sz w:val="24"/>
          <w:szCs w:val="24"/>
        </w:rPr>
        <w:t xml:space="preserve"> were arrested as </w:t>
      </w:r>
      <w:r w:rsidR="007017FD" w:rsidRPr="007017FD">
        <w:rPr>
          <w:rFonts w:ascii="Arial" w:hAnsi="Arial" w:cs="Arial"/>
          <w:i/>
          <w:sz w:val="24"/>
          <w:szCs w:val="24"/>
        </w:rPr>
        <w:t>terrorists</w:t>
      </w:r>
      <w:r w:rsidR="007017FD">
        <w:rPr>
          <w:rFonts w:ascii="Arial" w:hAnsi="Arial" w:cs="Arial"/>
          <w:sz w:val="24"/>
          <w:szCs w:val="24"/>
        </w:rPr>
        <w:t xml:space="preserve"> and they were all white</w:t>
      </w:r>
      <w:r w:rsidR="004D511D">
        <w:rPr>
          <w:rStyle w:val="FootnoteReference"/>
          <w:rFonts w:ascii="Arial" w:hAnsi="Arial" w:cs="Arial"/>
          <w:sz w:val="24"/>
          <w:szCs w:val="24"/>
        </w:rPr>
        <w:footnoteReference w:id="57"/>
      </w:r>
      <w:r w:rsidR="007017FD">
        <w:rPr>
          <w:rFonts w:ascii="Arial" w:hAnsi="Arial" w:cs="Arial"/>
          <w:sz w:val="24"/>
          <w:szCs w:val="24"/>
        </w:rPr>
        <w:t>.</w:t>
      </w:r>
      <w:r w:rsidR="006E2EAA">
        <w:rPr>
          <w:rFonts w:ascii="Arial" w:hAnsi="Arial" w:cs="Arial"/>
          <w:sz w:val="24"/>
          <w:szCs w:val="24"/>
        </w:rPr>
        <w:t xml:space="preserve"> In fact, </w:t>
      </w:r>
      <w:r w:rsidR="007C23E0" w:rsidRPr="00495F14">
        <w:rPr>
          <w:rFonts w:ascii="Arial" w:eastAsia="Times New Roman" w:hAnsi="Arial" w:cs="Arial"/>
          <w:sz w:val="24"/>
          <w:szCs w:val="24"/>
          <w:lang w:eastAsia="it-IT"/>
        </w:rPr>
        <w:t xml:space="preserve">Lord </w:t>
      </w:r>
      <w:r w:rsidR="007C23E0" w:rsidRPr="00C43E7C">
        <w:rPr>
          <w:rFonts w:ascii="Arial" w:eastAsia="Times New Roman" w:hAnsi="Arial" w:cs="Arial"/>
          <w:color w:val="000000" w:themeColor="text1"/>
          <w:sz w:val="24"/>
          <w:szCs w:val="24"/>
          <w:lang w:eastAsia="it-IT"/>
        </w:rPr>
        <w:t>Carlile</w:t>
      </w:r>
      <w:r w:rsidR="007C23E0" w:rsidRPr="00495F14">
        <w:rPr>
          <w:rStyle w:val="FootnoteReference"/>
          <w:rFonts w:ascii="Arial" w:eastAsia="Times New Roman" w:hAnsi="Arial" w:cs="Arial"/>
          <w:sz w:val="24"/>
          <w:szCs w:val="24"/>
          <w:lang w:eastAsia="it-IT"/>
        </w:rPr>
        <w:footnoteReference w:id="58"/>
      </w:r>
      <w:r w:rsidR="007C23E0" w:rsidRPr="00495F14">
        <w:rPr>
          <w:rFonts w:ascii="Arial" w:eastAsia="Times New Roman" w:hAnsi="Arial" w:cs="Arial"/>
          <w:sz w:val="24"/>
          <w:szCs w:val="24"/>
          <w:lang w:eastAsia="it-IT"/>
        </w:rPr>
        <w:t xml:space="preserve"> </w:t>
      </w:r>
      <w:r w:rsidR="00C54C66" w:rsidRPr="00495F14">
        <w:rPr>
          <w:rFonts w:ascii="Arial" w:eastAsia="Times New Roman" w:hAnsi="Arial" w:cs="Arial"/>
          <w:sz w:val="24"/>
          <w:szCs w:val="24"/>
          <w:lang w:eastAsia="it-IT"/>
        </w:rPr>
        <w:t xml:space="preserve">criticised </w:t>
      </w:r>
      <w:r w:rsidR="007C23E0" w:rsidRPr="00495F14">
        <w:rPr>
          <w:rFonts w:ascii="Arial" w:eastAsia="Times New Roman" w:hAnsi="Arial" w:cs="Arial"/>
          <w:sz w:val="24"/>
          <w:szCs w:val="24"/>
          <w:lang w:eastAsia="it-IT"/>
        </w:rPr>
        <w:t>section 44</w:t>
      </w:r>
      <w:r w:rsidR="006E2EAA">
        <w:rPr>
          <w:rStyle w:val="FootnoteReference"/>
          <w:rFonts w:ascii="Arial" w:eastAsia="Times New Roman" w:hAnsi="Arial" w:cs="Arial"/>
          <w:sz w:val="24"/>
          <w:szCs w:val="24"/>
          <w:lang w:eastAsia="it-IT"/>
        </w:rPr>
        <w:footnoteReference w:id="59"/>
      </w:r>
      <w:r w:rsidR="007C23E0" w:rsidRPr="00495F14">
        <w:rPr>
          <w:rFonts w:ascii="Arial" w:eastAsia="Times New Roman" w:hAnsi="Arial" w:cs="Arial"/>
          <w:sz w:val="24"/>
          <w:szCs w:val="24"/>
          <w:lang w:eastAsia="it-IT"/>
        </w:rPr>
        <w:t xml:space="preserve"> </w:t>
      </w:r>
      <w:r w:rsidR="00D600C6">
        <w:rPr>
          <w:rFonts w:ascii="Arial" w:eastAsia="Times New Roman" w:hAnsi="Arial" w:cs="Arial"/>
          <w:sz w:val="24"/>
          <w:szCs w:val="24"/>
          <w:lang w:eastAsia="it-IT"/>
        </w:rPr>
        <w:t>claiming that</w:t>
      </w:r>
      <w:r w:rsidR="007C23E0" w:rsidRPr="00495F14">
        <w:rPr>
          <w:rFonts w:ascii="Arial" w:eastAsia="Times New Roman" w:hAnsi="Arial" w:cs="Arial"/>
          <w:sz w:val="24"/>
          <w:szCs w:val="24"/>
          <w:lang w:eastAsia="it-IT"/>
        </w:rPr>
        <w:t xml:space="preserve"> </w:t>
      </w:r>
      <w:r w:rsidR="006E2EAA">
        <w:rPr>
          <w:rFonts w:ascii="Arial" w:eastAsia="Times New Roman" w:hAnsi="Arial" w:cs="Arial"/>
          <w:sz w:val="24"/>
          <w:szCs w:val="24"/>
          <w:lang w:eastAsia="it-IT"/>
        </w:rPr>
        <w:t xml:space="preserve">it </w:t>
      </w:r>
      <w:r w:rsidR="00286569">
        <w:rPr>
          <w:rFonts w:ascii="Arial" w:eastAsia="Times New Roman" w:hAnsi="Arial" w:cs="Arial"/>
          <w:sz w:val="24"/>
          <w:szCs w:val="24"/>
          <w:lang w:eastAsia="it-IT"/>
        </w:rPr>
        <w:t>had not</w:t>
      </w:r>
      <w:r w:rsidR="007C23E0" w:rsidRPr="00495F14">
        <w:rPr>
          <w:rFonts w:ascii="Arial" w:eastAsia="Times New Roman" w:hAnsi="Arial" w:cs="Arial"/>
          <w:sz w:val="24"/>
          <w:szCs w:val="24"/>
          <w:lang w:eastAsia="it-IT"/>
        </w:rPr>
        <w:t xml:space="preserve"> augment</w:t>
      </w:r>
      <w:r w:rsidR="00286569">
        <w:rPr>
          <w:rFonts w:ascii="Arial" w:eastAsia="Times New Roman" w:hAnsi="Arial" w:cs="Arial"/>
          <w:sz w:val="24"/>
          <w:szCs w:val="24"/>
          <w:lang w:eastAsia="it-IT"/>
        </w:rPr>
        <w:t>ed</w:t>
      </w:r>
      <w:r w:rsidR="007C23E0" w:rsidRPr="00495F14">
        <w:rPr>
          <w:rFonts w:ascii="Arial" w:eastAsia="Times New Roman" w:hAnsi="Arial" w:cs="Arial"/>
          <w:sz w:val="24"/>
          <w:szCs w:val="24"/>
          <w:lang w:eastAsia="it-IT"/>
        </w:rPr>
        <w:t xml:space="preserve"> the ch</w:t>
      </w:r>
      <w:r w:rsidR="001D2817">
        <w:rPr>
          <w:rFonts w:ascii="Arial" w:eastAsia="Times New Roman" w:hAnsi="Arial" w:cs="Arial"/>
          <w:sz w:val="24"/>
          <w:szCs w:val="24"/>
          <w:lang w:eastAsia="it-IT"/>
        </w:rPr>
        <w:t>ances of discovering terrorists</w:t>
      </w:r>
      <w:r w:rsidR="006E2EAA">
        <w:rPr>
          <w:rFonts w:ascii="Arial" w:eastAsia="Times New Roman" w:hAnsi="Arial" w:cs="Arial"/>
          <w:sz w:val="24"/>
          <w:szCs w:val="24"/>
          <w:lang w:eastAsia="it-IT"/>
        </w:rPr>
        <w:t xml:space="preserve"> though not requiring reasonableness as a standard</w:t>
      </w:r>
      <w:r w:rsidR="001D2817">
        <w:rPr>
          <w:rFonts w:ascii="Arial" w:eastAsia="Times New Roman" w:hAnsi="Arial" w:cs="Arial"/>
          <w:sz w:val="24"/>
          <w:szCs w:val="24"/>
          <w:lang w:eastAsia="it-IT"/>
        </w:rPr>
        <w:t xml:space="preserve">. </w:t>
      </w:r>
      <w:r w:rsidR="00247D22">
        <w:rPr>
          <w:rFonts w:ascii="Arial" w:eastAsia="Times New Roman" w:hAnsi="Arial" w:cs="Arial"/>
          <w:sz w:val="24"/>
          <w:szCs w:val="24"/>
          <w:lang w:eastAsia="it-IT"/>
        </w:rPr>
        <w:t>While i</w:t>
      </w:r>
      <w:r w:rsidR="005A190E" w:rsidRPr="00495F14">
        <w:rPr>
          <w:rFonts w:ascii="Arial" w:eastAsia="Times New Roman" w:hAnsi="Arial" w:cs="Arial"/>
          <w:sz w:val="24"/>
          <w:szCs w:val="24"/>
          <w:lang w:eastAsia="it-IT"/>
        </w:rPr>
        <w:t xml:space="preserve">t </w:t>
      </w:r>
      <w:r w:rsidR="00247D22">
        <w:rPr>
          <w:rFonts w:ascii="Arial" w:eastAsia="Times New Roman" w:hAnsi="Arial" w:cs="Arial"/>
          <w:sz w:val="24"/>
          <w:szCs w:val="24"/>
          <w:lang w:eastAsia="it-IT"/>
        </w:rPr>
        <w:t xml:space="preserve">could </w:t>
      </w:r>
      <w:r w:rsidR="003A6DFA" w:rsidRPr="00495F14">
        <w:rPr>
          <w:rFonts w:ascii="Arial" w:eastAsia="Times New Roman" w:hAnsi="Arial" w:cs="Arial"/>
          <w:sz w:val="24"/>
          <w:szCs w:val="24"/>
          <w:lang w:eastAsia="it-IT"/>
        </w:rPr>
        <w:t xml:space="preserve">be argued that citizens have </w:t>
      </w:r>
      <w:r w:rsidR="00286569">
        <w:rPr>
          <w:rFonts w:ascii="Arial" w:eastAsia="Times New Roman" w:hAnsi="Arial" w:cs="Arial"/>
          <w:sz w:val="24"/>
          <w:szCs w:val="24"/>
          <w:lang w:eastAsia="it-IT"/>
        </w:rPr>
        <w:t xml:space="preserve">a </w:t>
      </w:r>
      <w:r w:rsidR="003A6DFA" w:rsidRPr="00495F14">
        <w:rPr>
          <w:rFonts w:ascii="Arial" w:eastAsia="Times New Roman" w:hAnsi="Arial" w:cs="Arial"/>
          <w:sz w:val="24"/>
          <w:szCs w:val="24"/>
          <w:lang w:eastAsia="it-IT"/>
        </w:rPr>
        <w:t xml:space="preserve">civic duty to collaborate </w:t>
      </w:r>
      <w:r w:rsidR="00247D22">
        <w:rPr>
          <w:rFonts w:ascii="Arial" w:eastAsia="Times New Roman" w:hAnsi="Arial" w:cs="Arial"/>
          <w:sz w:val="24"/>
          <w:szCs w:val="24"/>
          <w:lang w:eastAsia="it-IT"/>
        </w:rPr>
        <w:t>with the police to prevent crime</w:t>
      </w:r>
      <w:r w:rsidR="00DA4C28" w:rsidRPr="00495F14">
        <w:rPr>
          <w:rStyle w:val="FootnoteReference"/>
          <w:rFonts w:ascii="Arial" w:eastAsia="Times New Roman" w:hAnsi="Arial" w:cs="Arial"/>
          <w:sz w:val="24"/>
          <w:szCs w:val="24"/>
          <w:lang w:eastAsia="it-IT"/>
        </w:rPr>
        <w:footnoteReference w:id="60"/>
      </w:r>
      <w:r w:rsidR="00247D22">
        <w:rPr>
          <w:rFonts w:ascii="Arial" w:eastAsia="Times New Roman" w:hAnsi="Arial" w:cs="Arial"/>
          <w:sz w:val="24"/>
          <w:szCs w:val="24"/>
          <w:lang w:eastAsia="it-IT"/>
        </w:rPr>
        <w:t>, it is unquestionable that officers should behave politely. In practice,</w:t>
      </w:r>
      <w:r w:rsidR="00056011" w:rsidRPr="00495F14">
        <w:rPr>
          <w:rFonts w:ascii="Arial" w:eastAsia="Times New Roman" w:hAnsi="Arial" w:cs="Arial"/>
          <w:sz w:val="24"/>
          <w:szCs w:val="24"/>
          <w:lang w:eastAsia="it-IT"/>
        </w:rPr>
        <w:t xml:space="preserve"> </w:t>
      </w:r>
      <w:r w:rsidR="00247D22">
        <w:rPr>
          <w:rFonts w:ascii="Arial" w:eastAsia="Times New Roman" w:hAnsi="Arial" w:cs="Arial"/>
          <w:sz w:val="24"/>
          <w:szCs w:val="24"/>
          <w:lang w:eastAsia="it-IT"/>
        </w:rPr>
        <w:t xml:space="preserve">when they </w:t>
      </w:r>
      <w:r w:rsidR="00056011" w:rsidRPr="00495F14">
        <w:rPr>
          <w:rFonts w:ascii="Arial" w:eastAsia="Times New Roman" w:hAnsi="Arial" w:cs="Arial"/>
          <w:sz w:val="24"/>
          <w:szCs w:val="24"/>
          <w:lang w:eastAsia="it-IT"/>
        </w:rPr>
        <w:t>provided</w:t>
      </w:r>
      <w:r w:rsidR="00247D22">
        <w:rPr>
          <w:rFonts w:ascii="Arial" w:eastAsia="Times New Roman" w:hAnsi="Arial" w:cs="Arial"/>
          <w:sz w:val="24"/>
          <w:szCs w:val="24"/>
          <w:lang w:eastAsia="it-IT"/>
        </w:rPr>
        <w:t xml:space="preserve"> genuine and </w:t>
      </w:r>
      <w:r w:rsidR="00903440">
        <w:rPr>
          <w:rFonts w:ascii="Arial" w:eastAsia="Times New Roman" w:hAnsi="Arial" w:cs="Arial"/>
          <w:sz w:val="24"/>
          <w:szCs w:val="24"/>
          <w:lang w:eastAsia="it-IT"/>
        </w:rPr>
        <w:lastRenderedPageBreak/>
        <w:t>fair reasons</w:t>
      </w:r>
      <w:r w:rsidR="00247D22">
        <w:rPr>
          <w:rFonts w:ascii="Arial" w:eastAsia="Times New Roman" w:hAnsi="Arial" w:cs="Arial"/>
          <w:sz w:val="24"/>
          <w:szCs w:val="24"/>
          <w:lang w:eastAsia="it-IT"/>
        </w:rPr>
        <w:t xml:space="preserve"> </w:t>
      </w:r>
      <w:r w:rsidR="00056011" w:rsidRPr="00495F14">
        <w:rPr>
          <w:rFonts w:ascii="Arial" w:eastAsia="Times New Roman" w:hAnsi="Arial" w:cs="Arial"/>
          <w:sz w:val="24"/>
          <w:szCs w:val="24"/>
          <w:lang w:eastAsia="it-IT"/>
        </w:rPr>
        <w:t>people were more incline</w:t>
      </w:r>
      <w:r w:rsidR="00744F04">
        <w:rPr>
          <w:rFonts w:ascii="Arial" w:eastAsia="Times New Roman" w:hAnsi="Arial" w:cs="Arial"/>
          <w:sz w:val="24"/>
          <w:szCs w:val="24"/>
          <w:lang w:eastAsia="it-IT"/>
        </w:rPr>
        <w:t>d</w:t>
      </w:r>
      <w:r w:rsidR="00056011" w:rsidRPr="00495F14">
        <w:rPr>
          <w:rFonts w:ascii="Arial" w:eastAsia="Times New Roman" w:hAnsi="Arial" w:cs="Arial"/>
          <w:sz w:val="24"/>
          <w:szCs w:val="24"/>
          <w:lang w:eastAsia="it-IT"/>
        </w:rPr>
        <w:t xml:space="preserve"> to help</w:t>
      </w:r>
      <w:r w:rsidR="004B3769" w:rsidRPr="00495F14">
        <w:rPr>
          <w:rStyle w:val="FootnoteReference"/>
          <w:rFonts w:ascii="Arial" w:eastAsia="Times New Roman" w:hAnsi="Arial" w:cs="Arial"/>
          <w:sz w:val="24"/>
          <w:szCs w:val="24"/>
          <w:lang w:eastAsia="it-IT"/>
        </w:rPr>
        <w:footnoteReference w:id="61"/>
      </w:r>
      <w:r w:rsidR="001211C6" w:rsidRPr="00495F14">
        <w:rPr>
          <w:rFonts w:ascii="Arial" w:eastAsia="Times New Roman" w:hAnsi="Arial" w:cs="Arial"/>
          <w:sz w:val="24"/>
          <w:szCs w:val="24"/>
          <w:lang w:eastAsia="it-IT"/>
        </w:rPr>
        <w:t>.</w:t>
      </w:r>
      <w:r w:rsidR="00056011" w:rsidRPr="00495F14">
        <w:rPr>
          <w:rFonts w:ascii="Arial" w:eastAsia="Times New Roman" w:hAnsi="Arial" w:cs="Arial"/>
          <w:sz w:val="24"/>
          <w:szCs w:val="24"/>
          <w:lang w:eastAsia="it-IT"/>
        </w:rPr>
        <w:t xml:space="preserve"> Equally, the stops were more effecti</w:t>
      </w:r>
      <w:r w:rsidR="00E172E9">
        <w:rPr>
          <w:rFonts w:ascii="Arial" w:eastAsia="Times New Roman" w:hAnsi="Arial" w:cs="Arial"/>
          <w:sz w:val="24"/>
          <w:szCs w:val="24"/>
          <w:lang w:eastAsia="it-IT"/>
        </w:rPr>
        <w:t xml:space="preserve">ve when people felt </w:t>
      </w:r>
      <w:r w:rsidR="00056011" w:rsidRPr="00495F14">
        <w:rPr>
          <w:rFonts w:ascii="Arial" w:eastAsia="Times New Roman" w:hAnsi="Arial" w:cs="Arial"/>
          <w:sz w:val="24"/>
          <w:szCs w:val="24"/>
          <w:lang w:eastAsia="it-IT"/>
        </w:rPr>
        <w:t>that policemen were not abusing power</w:t>
      </w:r>
      <w:r w:rsidR="004B3769" w:rsidRPr="00495F14">
        <w:rPr>
          <w:rStyle w:val="FootnoteReference"/>
          <w:rFonts w:ascii="Arial" w:hAnsi="Arial" w:cs="Arial"/>
          <w:sz w:val="24"/>
          <w:szCs w:val="24"/>
        </w:rPr>
        <w:footnoteReference w:id="62"/>
      </w:r>
      <w:r w:rsidR="00056011" w:rsidRPr="00495F14">
        <w:rPr>
          <w:rFonts w:ascii="Arial" w:eastAsia="Times New Roman" w:hAnsi="Arial" w:cs="Arial"/>
          <w:sz w:val="24"/>
          <w:szCs w:val="24"/>
          <w:lang w:eastAsia="it-IT"/>
        </w:rPr>
        <w:t>.</w:t>
      </w:r>
      <w:r w:rsidR="00557AF0">
        <w:rPr>
          <w:rFonts w:ascii="Arial" w:eastAsia="Times New Roman" w:hAnsi="Arial" w:cs="Arial"/>
          <w:sz w:val="24"/>
          <w:szCs w:val="24"/>
          <w:lang w:eastAsia="it-IT"/>
        </w:rPr>
        <w:t xml:space="preserve"> Moreover,</w:t>
      </w:r>
      <w:r w:rsidR="004B708D">
        <w:rPr>
          <w:rFonts w:ascii="Arial" w:eastAsia="Times New Roman" w:hAnsi="Arial" w:cs="Arial"/>
          <w:sz w:val="24"/>
          <w:szCs w:val="24"/>
          <w:lang w:eastAsia="it-IT"/>
        </w:rPr>
        <w:t xml:space="preserve"> it was unfair</w:t>
      </w:r>
      <w:r w:rsidR="00056011" w:rsidRPr="00495F14">
        <w:rPr>
          <w:rFonts w:ascii="Arial" w:eastAsia="Times New Roman" w:hAnsi="Arial" w:cs="Arial"/>
          <w:sz w:val="24"/>
          <w:szCs w:val="24"/>
          <w:lang w:eastAsia="it-IT"/>
        </w:rPr>
        <w:t xml:space="preserve"> </w:t>
      </w:r>
      <w:r w:rsidR="004B708D">
        <w:rPr>
          <w:rFonts w:ascii="Arial" w:eastAsia="Times New Roman" w:hAnsi="Arial" w:cs="Arial"/>
          <w:sz w:val="24"/>
          <w:szCs w:val="24"/>
          <w:lang w:eastAsia="it-IT"/>
        </w:rPr>
        <w:t>to blame officers</w:t>
      </w:r>
      <w:r w:rsidR="00557AF0">
        <w:rPr>
          <w:rFonts w:ascii="Arial" w:eastAsia="Times New Roman" w:hAnsi="Arial" w:cs="Arial"/>
          <w:sz w:val="24"/>
          <w:szCs w:val="24"/>
          <w:lang w:eastAsia="it-IT"/>
        </w:rPr>
        <w:t xml:space="preserve"> if </w:t>
      </w:r>
      <w:r w:rsidR="00557AF0" w:rsidRPr="00495F14">
        <w:rPr>
          <w:rFonts w:ascii="Arial" w:eastAsia="Times New Roman" w:hAnsi="Arial" w:cs="Arial"/>
          <w:sz w:val="24"/>
          <w:szCs w:val="24"/>
          <w:lang w:eastAsia="it-IT"/>
        </w:rPr>
        <w:t xml:space="preserve">people </w:t>
      </w:r>
      <w:r w:rsidR="004B708D">
        <w:rPr>
          <w:rFonts w:ascii="Arial" w:eastAsia="Times New Roman" w:hAnsi="Arial" w:cs="Arial"/>
          <w:sz w:val="24"/>
          <w:szCs w:val="24"/>
          <w:lang w:eastAsia="it-IT"/>
        </w:rPr>
        <w:t>were</w:t>
      </w:r>
      <w:r w:rsidR="00557AF0" w:rsidRPr="00495F14">
        <w:rPr>
          <w:rFonts w:ascii="Arial" w:eastAsia="Times New Roman" w:hAnsi="Arial" w:cs="Arial"/>
          <w:sz w:val="24"/>
          <w:szCs w:val="24"/>
          <w:lang w:eastAsia="it-IT"/>
        </w:rPr>
        <w:t xml:space="preserve"> not willing to help</w:t>
      </w:r>
      <w:r w:rsidR="00557AF0" w:rsidRPr="00495F14">
        <w:rPr>
          <w:rStyle w:val="FootnoteReference"/>
          <w:rFonts w:ascii="Arial" w:eastAsia="Times New Roman" w:hAnsi="Arial" w:cs="Arial"/>
          <w:sz w:val="24"/>
          <w:szCs w:val="24"/>
          <w:lang w:eastAsia="it-IT"/>
        </w:rPr>
        <w:footnoteReference w:id="63"/>
      </w:r>
      <w:r w:rsidR="00557AF0">
        <w:rPr>
          <w:rFonts w:ascii="Arial" w:eastAsia="Times New Roman" w:hAnsi="Arial" w:cs="Arial"/>
          <w:sz w:val="24"/>
          <w:szCs w:val="24"/>
          <w:lang w:eastAsia="it-IT"/>
        </w:rPr>
        <w:t>, nor c</w:t>
      </w:r>
      <w:r w:rsidR="004B708D">
        <w:rPr>
          <w:rFonts w:ascii="Arial" w:eastAsia="Times New Roman" w:hAnsi="Arial" w:cs="Arial"/>
          <w:sz w:val="24"/>
          <w:szCs w:val="24"/>
          <w:lang w:eastAsia="it-IT"/>
        </w:rPr>
        <w:t>ould</w:t>
      </w:r>
      <w:r w:rsidR="00557AF0">
        <w:rPr>
          <w:rFonts w:ascii="Arial" w:eastAsia="Times New Roman" w:hAnsi="Arial" w:cs="Arial"/>
          <w:sz w:val="24"/>
          <w:szCs w:val="24"/>
          <w:lang w:eastAsia="it-IT"/>
        </w:rPr>
        <w:t xml:space="preserve"> </w:t>
      </w:r>
      <w:r w:rsidR="00557AF0" w:rsidRPr="00495F14">
        <w:rPr>
          <w:rFonts w:ascii="Arial" w:hAnsi="Arial" w:cs="Arial"/>
          <w:sz w:val="24"/>
          <w:szCs w:val="24"/>
        </w:rPr>
        <w:t>the good faith and hard work</w:t>
      </w:r>
      <w:r w:rsidR="00557AF0">
        <w:rPr>
          <w:rFonts w:ascii="Arial" w:hAnsi="Arial" w:cs="Arial"/>
          <w:sz w:val="24"/>
          <w:szCs w:val="24"/>
        </w:rPr>
        <w:t xml:space="preserve"> of </w:t>
      </w:r>
      <w:r w:rsidR="00557AF0" w:rsidRPr="00EB1364">
        <w:rPr>
          <w:rFonts w:ascii="Arial" w:hAnsi="Arial" w:cs="Arial"/>
          <w:color w:val="000000" w:themeColor="text1"/>
          <w:sz w:val="24"/>
          <w:szCs w:val="24"/>
        </w:rPr>
        <w:t>most</w:t>
      </w:r>
      <w:r w:rsidR="00557AF0">
        <w:rPr>
          <w:rFonts w:ascii="Arial" w:hAnsi="Arial" w:cs="Arial"/>
          <w:sz w:val="24"/>
          <w:szCs w:val="24"/>
        </w:rPr>
        <w:t xml:space="preserve"> of them be questioned just because some abuse</w:t>
      </w:r>
      <w:r w:rsidR="00C51A8B">
        <w:rPr>
          <w:rFonts w:ascii="Arial" w:hAnsi="Arial" w:cs="Arial"/>
          <w:sz w:val="24"/>
          <w:szCs w:val="24"/>
        </w:rPr>
        <w:t>d</w:t>
      </w:r>
      <w:r w:rsidR="00557AF0">
        <w:rPr>
          <w:rFonts w:ascii="Arial" w:hAnsi="Arial" w:cs="Arial"/>
          <w:sz w:val="24"/>
          <w:szCs w:val="24"/>
        </w:rPr>
        <w:t xml:space="preserve"> power</w:t>
      </w:r>
      <w:r w:rsidR="00CD2CCD">
        <w:rPr>
          <w:rFonts w:ascii="Arial" w:hAnsi="Arial" w:cs="Arial"/>
          <w:sz w:val="24"/>
          <w:szCs w:val="24"/>
        </w:rPr>
        <w:t>.</w:t>
      </w:r>
      <w:r w:rsidR="00995541">
        <w:rPr>
          <w:rFonts w:ascii="Arial" w:eastAsia="Times New Roman" w:hAnsi="Arial" w:cs="Arial"/>
          <w:sz w:val="24"/>
          <w:szCs w:val="24"/>
          <w:lang w:eastAsia="it-IT"/>
        </w:rPr>
        <w:t xml:space="preserve"> Moreover, t</w:t>
      </w:r>
      <w:r w:rsidR="00056011" w:rsidRPr="00495F14">
        <w:rPr>
          <w:rFonts w:ascii="Arial" w:eastAsia="Times New Roman" w:hAnsi="Arial" w:cs="Arial"/>
          <w:sz w:val="24"/>
          <w:szCs w:val="24"/>
          <w:lang w:eastAsia="it-IT"/>
        </w:rPr>
        <w:t>he fact that some had positive memories of being stopped</w:t>
      </w:r>
      <w:r w:rsidR="00995541">
        <w:rPr>
          <w:rFonts w:ascii="Arial" w:eastAsia="Times New Roman" w:hAnsi="Arial" w:cs="Arial"/>
          <w:sz w:val="24"/>
          <w:szCs w:val="24"/>
          <w:lang w:eastAsia="it-IT"/>
        </w:rPr>
        <w:t xml:space="preserve"> </w:t>
      </w:r>
      <w:r w:rsidR="00C51A8B">
        <w:rPr>
          <w:rFonts w:ascii="Arial" w:eastAsia="Times New Roman" w:hAnsi="Arial" w:cs="Arial"/>
          <w:sz w:val="24"/>
          <w:szCs w:val="24"/>
          <w:lang w:eastAsia="it-IT"/>
        </w:rPr>
        <w:t xml:space="preserve">prompted the </w:t>
      </w:r>
      <w:r w:rsidR="00305DF3">
        <w:rPr>
          <w:rFonts w:ascii="Arial" w:eastAsia="Times New Roman" w:hAnsi="Arial" w:cs="Arial"/>
          <w:sz w:val="24"/>
          <w:szCs w:val="24"/>
          <w:lang w:eastAsia="it-IT"/>
        </w:rPr>
        <w:t xml:space="preserve">government to </w:t>
      </w:r>
      <w:r w:rsidR="00EE7851">
        <w:rPr>
          <w:rFonts w:ascii="Arial" w:eastAsia="Times New Roman" w:hAnsi="Arial" w:cs="Arial"/>
          <w:sz w:val="24"/>
          <w:szCs w:val="24"/>
          <w:lang w:eastAsia="it-IT"/>
        </w:rPr>
        <w:t xml:space="preserve">retain and </w:t>
      </w:r>
      <w:r w:rsidR="00305DF3">
        <w:rPr>
          <w:rFonts w:ascii="Arial" w:eastAsia="Times New Roman" w:hAnsi="Arial" w:cs="Arial"/>
          <w:sz w:val="24"/>
          <w:szCs w:val="24"/>
          <w:lang w:eastAsia="it-IT"/>
        </w:rPr>
        <w:t>improve these powers</w:t>
      </w:r>
      <w:r w:rsidR="00056011" w:rsidRPr="00495F14">
        <w:rPr>
          <w:rFonts w:ascii="Arial" w:eastAsia="Times New Roman" w:hAnsi="Arial" w:cs="Arial"/>
          <w:sz w:val="24"/>
          <w:szCs w:val="24"/>
          <w:lang w:eastAsia="it-IT"/>
        </w:rPr>
        <w:t xml:space="preserve"> since they </w:t>
      </w:r>
      <w:r w:rsidR="00305DF3">
        <w:rPr>
          <w:rFonts w:ascii="Arial" w:eastAsia="Times New Roman" w:hAnsi="Arial" w:cs="Arial"/>
          <w:sz w:val="24"/>
          <w:szCs w:val="24"/>
          <w:lang w:eastAsia="it-IT"/>
        </w:rPr>
        <w:t>had</w:t>
      </w:r>
      <w:r w:rsidR="00492B86">
        <w:rPr>
          <w:rFonts w:ascii="Arial" w:eastAsia="Times New Roman" w:hAnsi="Arial" w:cs="Arial"/>
          <w:sz w:val="24"/>
          <w:szCs w:val="24"/>
          <w:lang w:eastAsia="it-IT"/>
        </w:rPr>
        <w:t xml:space="preserve"> sometimes </w:t>
      </w:r>
      <w:r w:rsidR="00247D22">
        <w:rPr>
          <w:rFonts w:ascii="Arial" w:eastAsia="Times New Roman" w:hAnsi="Arial" w:cs="Arial"/>
          <w:sz w:val="24"/>
          <w:szCs w:val="24"/>
          <w:lang w:eastAsia="it-IT"/>
        </w:rPr>
        <w:t>increase</w:t>
      </w:r>
      <w:r w:rsidR="00492B86">
        <w:rPr>
          <w:rFonts w:ascii="Arial" w:eastAsia="Times New Roman" w:hAnsi="Arial" w:cs="Arial"/>
          <w:sz w:val="24"/>
          <w:szCs w:val="24"/>
          <w:lang w:eastAsia="it-IT"/>
        </w:rPr>
        <w:t>d</w:t>
      </w:r>
      <w:r w:rsidR="00056011" w:rsidRPr="00495F14">
        <w:rPr>
          <w:rFonts w:ascii="Arial" w:eastAsia="Times New Roman" w:hAnsi="Arial" w:cs="Arial"/>
          <w:sz w:val="24"/>
          <w:szCs w:val="24"/>
          <w:lang w:eastAsia="it-IT"/>
        </w:rPr>
        <w:t xml:space="preserve"> confidence in </w:t>
      </w:r>
      <w:r w:rsidR="00492B86">
        <w:rPr>
          <w:rFonts w:ascii="Arial" w:eastAsia="Times New Roman" w:hAnsi="Arial" w:cs="Arial"/>
          <w:sz w:val="24"/>
          <w:szCs w:val="24"/>
          <w:lang w:eastAsia="it-IT"/>
        </w:rPr>
        <w:t>the police</w:t>
      </w:r>
      <w:r w:rsidR="00056011" w:rsidRPr="00495F14">
        <w:rPr>
          <w:rStyle w:val="FootnoteReference"/>
          <w:rFonts w:ascii="Arial" w:eastAsia="Times New Roman" w:hAnsi="Arial" w:cs="Arial"/>
          <w:sz w:val="24"/>
          <w:szCs w:val="24"/>
          <w:lang w:eastAsia="it-IT"/>
        </w:rPr>
        <w:footnoteReference w:id="64"/>
      </w:r>
      <w:r w:rsidR="00056011" w:rsidRPr="00495F14">
        <w:rPr>
          <w:rFonts w:ascii="Arial" w:eastAsia="Times New Roman" w:hAnsi="Arial" w:cs="Arial"/>
          <w:sz w:val="24"/>
          <w:szCs w:val="24"/>
          <w:lang w:eastAsia="it-IT"/>
        </w:rPr>
        <w:t>.</w:t>
      </w:r>
      <w:r w:rsidR="00995541">
        <w:rPr>
          <w:rFonts w:ascii="Arial" w:hAnsi="Arial" w:cs="Arial"/>
          <w:sz w:val="24"/>
          <w:szCs w:val="24"/>
        </w:rPr>
        <w:t xml:space="preserve"> </w:t>
      </w:r>
    </w:p>
    <w:p w14:paraId="63DF00A8" w14:textId="77777777" w:rsidR="0071180A" w:rsidRDefault="0071180A" w:rsidP="00995541">
      <w:pPr>
        <w:spacing w:line="360" w:lineRule="auto"/>
        <w:ind w:left="1417"/>
        <w:jc w:val="both"/>
        <w:rPr>
          <w:rFonts w:ascii="Arial" w:hAnsi="Arial" w:cs="Arial"/>
          <w:sz w:val="24"/>
          <w:szCs w:val="24"/>
        </w:rPr>
      </w:pPr>
    </w:p>
    <w:p w14:paraId="7D2913E8" w14:textId="77777777" w:rsidR="00013B56" w:rsidRPr="00995541" w:rsidRDefault="00DF4914" w:rsidP="00995541">
      <w:pPr>
        <w:spacing w:line="360" w:lineRule="auto"/>
        <w:ind w:left="1417"/>
        <w:jc w:val="both"/>
        <w:rPr>
          <w:rFonts w:ascii="Arial" w:eastAsia="Times New Roman" w:hAnsi="Arial" w:cs="Arial"/>
          <w:sz w:val="24"/>
          <w:szCs w:val="24"/>
          <w:lang w:eastAsia="it-IT"/>
        </w:rPr>
      </w:pPr>
      <w:r>
        <w:rPr>
          <w:rFonts w:ascii="Arial" w:hAnsi="Arial" w:cs="Arial"/>
          <w:sz w:val="24"/>
          <w:szCs w:val="24"/>
        </w:rPr>
        <w:t xml:space="preserve">However, </w:t>
      </w:r>
      <w:r w:rsidR="00C0116A">
        <w:rPr>
          <w:rFonts w:ascii="Arial" w:hAnsi="Arial" w:cs="Arial"/>
          <w:sz w:val="24"/>
          <w:szCs w:val="24"/>
        </w:rPr>
        <w:t xml:space="preserve">the government should </w:t>
      </w:r>
      <w:r w:rsidR="00827A7D">
        <w:rPr>
          <w:rFonts w:ascii="Arial" w:hAnsi="Arial" w:cs="Arial"/>
          <w:sz w:val="24"/>
          <w:szCs w:val="24"/>
        </w:rPr>
        <w:t xml:space="preserve">have </w:t>
      </w:r>
      <w:r w:rsidR="00C0116A">
        <w:rPr>
          <w:rFonts w:ascii="Arial" w:hAnsi="Arial" w:cs="Arial"/>
          <w:sz w:val="24"/>
          <w:szCs w:val="24"/>
        </w:rPr>
        <w:t>enact</w:t>
      </w:r>
      <w:r w:rsidR="00827A7D">
        <w:rPr>
          <w:rFonts w:ascii="Arial" w:hAnsi="Arial" w:cs="Arial"/>
          <w:sz w:val="24"/>
          <w:szCs w:val="24"/>
        </w:rPr>
        <w:t>ed</w:t>
      </w:r>
      <w:r w:rsidR="00C0116A">
        <w:rPr>
          <w:rFonts w:ascii="Arial" w:hAnsi="Arial" w:cs="Arial"/>
          <w:sz w:val="24"/>
          <w:szCs w:val="24"/>
        </w:rPr>
        <w:t xml:space="preserve"> </w:t>
      </w:r>
      <w:r>
        <w:rPr>
          <w:rFonts w:ascii="Arial" w:hAnsi="Arial" w:cs="Arial"/>
          <w:sz w:val="24"/>
          <w:szCs w:val="24"/>
        </w:rPr>
        <w:t xml:space="preserve">legislation </w:t>
      </w:r>
      <w:r w:rsidR="00C0116A">
        <w:rPr>
          <w:rFonts w:ascii="Arial" w:hAnsi="Arial" w:cs="Arial"/>
          <w:sz w:val="24"/>
          <w:szCs w:val="24"/>
        </w:rPr>
        <w:t>clarifying</w:t>
      </w:r>
      <w:r>
        <w:rPr>
          <w:rFonts w:ascii="Arial" w:hAnsi="Arial" w:cs="Arial"/>
          <w:sz w:val="24"/>
          <w:szCs w:val="24"/>
        </w:rPr>
        <w:t xml:space="preserve"> how o</w:t>
      </w:r>
      <w:r w:rsidR="003C0112">
        <w:rPr>
          <w:rFonts w:ascii="Arial" w:hAnsi="Arial" w:cs="Arial"/>
          <w:sz w:val="24"/>
          <w:szCs w:val="24"/>
        </w:rPr>
        <w:t>fficers who do not comply with codes of practice</w:t>
      </w:r>
      <w:r w:rsidR="0048201C">
        <w:rPr>
          <w:rFonts w:ascii="Arial" w:hAnsi="Arial" w:cs="Arial"/>
          <w:sz w:val="24"/>
          <w:szCs w:val="24"/>
        </w:rPr>
        <w:t xml:space="preserve"> are to be </w:t>
      </w:r>
      <w:r>
        <w:rPr>
          <w:rFonts w:ascii="Arial" w:hAnsi="Arial" w:cs="Arial"/>
          <w:sz w:val="24"/>
          <w:szCs w:val="24"/>
        </w:rPr>
        <w:t>punished</w:t>
      </w:r>
      <w:r w:rsidR="00D25696">
        <w:rPr>
          <w:rFonts w:ascii="Arial" w:hAnsi="Arial" w:cs="Arial"/>
          <w:sz w:val="24"/>
          <w:szCs w:val="24"/>
        </w:rPr>
        <w:t xml:space="preserve"> </w:t>
      </w:r>
      <w:r w:rsidR="003C0112">
        <w:rPr>
          <w:rFonts w:ascii="Arial" w:hAnsi="Arial" w:cs="Arial"/>
          <w:sz w:val="24"/>
          <w:szCs w:val="24"/>
        </w:rPr>
        <w:t>since law</w:t>
      </w:r>
      <w:r w:rsidR="00BE5B94">
        <w:rPr>
          <w:rFonts w:ascii="Arial" w:hAnsi="Arial" w:cs="Arial"/>
          <w:sz w:val="24"/>
          <w:szCs w:val="24"/>
        </w:rPr>
        <w:t>s</w:t>
      </w:r>
      <w:r w:rsidR="003C0112">
        <w:rPr>
          <w:rFonts w:ascii="Arial" w:hAnsi="Arial" w:cs="Arial"/>
          <w:sz w:val="24"/>
          <w:szCs w:val="24"/>
        </w:rPr>
        <w:t xml:space="preserve"> concerning penalties for those</w:t>
      </w:r>
      <w:r>
        <w:rPr>
          <w:rFonts w:ascii="Arial" w:hAnsi="Arial" w:cs="Arial"/>
          <w:sz w:val="24"/>
          <w:szCs w:val="24"/>
        </w:rPr>
        <w:t xml:space="preserve"> who </w:t>
      </w:r>
      <w:r w:rsidR="006852B5">
        <w:rPr>
          <w:rFonts w:ascii="Arial" w:hAnsi="Arial" w:cs="Arial"/>
          <w:sz w:val="24"/>
          <w:szCs w:val="24"/>
        </w:rPr>
        <w:t>obstruct policemen on duty</w:t>
      </w:r>
      <w:r w:rsidR="003C0112">
        <w:rPr>
          <w:rFonts w:ascii="Arial" w:hAnsi="Arial" w:cs="Arial"/>
          <w:sz w:val="24"/>
          <w:szCs w:val="24"/>
        </w:rPr>
        <w:t xml:space="preserve"> exist</w:t>
      </w:r>
      <w:r w:rsidR="000A0464">
        <w:rPr>
          <w:rStyle w:val="FootnoteReference"/>
          <w:rFonts w:ascii="Arial" w:hAnsi="Arial" w:cs="Arial"/>
          <w:sz w:val="24"/>
          <w:szCs w:val="24"/>
        </w:rPr>
        <w:footnoteReference w:id="65"/>
      </w:r>
      <w:r>
        <w:rPr>
          <w:rFonts w:ascii="Arial" w:hAnsi="Arial" w:cs="Arial"/>
          <w:sz w:val="24"/>
          <w:szCs w:val="24"/>
        </w:rPr>
        <w:t xml:space="preserve">. </w:t>
      </w:r>
      <w:r w:rsidR="00407AA3">
        <w:rPr>
          <w:rFonts w:ascii="Arial" w:hAnsi="Arial" w:cs="Arial"/>
          <w:sz w:val="24"/>
          <w:szCs w:val="24"/>
        </w:rPr>
        <w:t>I</w:t>
      </w:r>
      <w:r w:rsidR="00137DE9">
        <w:rPr>
          <w:rFonts w:ascii="Arial" w:hAnsi="Arial" w:cs="Arial"/>
          <w:sz w:val="24"/>
          <w:szCs w:val="24"/>
        </w:rPr>
        <w:t>n addition,</w:t>
      </w:r>
      <w:r w:rsidR="00DA7E7A">
        <w:rPr>
          <w:rFonts w:ascii="Arial" w:hAnsi="Arial" w:cs="Arial"/>
          <w:sz w:val="24"/>
          <w:szCs w:val="24"/>
        </w:rPr>
        <w:t xml:space="preserve"> </w:t>
      </w:r>
      <w:r w:rsidR="00C455BA">
        <w:rPr>
          <w:rFonts w:ascii="Arial" w:hAnsi="Arial" w:cs="Arial"/>
          <w:sz w:val="24"/>
          <w:szCs w:val="24"/>
        </w:rPr>
        <w:t>the executive</w:t>
      </w:r>
      <w:r w:rsidR="00DA7E7A">
        <w:rPr>
          <w:rFonts w:ascii="Arial" w:hAnsi="Arial" w:cs="Arial"/>
          <w:sz w:val="24"/>
          <w:szCs w:val="24"/>
        </w:rPr>
        <w:t xml:space="preserve"> could </w:t>
      </w:r>
      <w:r w:rsidR="001A2517">
        <w:rPr>
          <w:rFonts w:ascii="Arial" w:hAnsi="Arial" w:cs="Arial"/>
          <w:sz w:val="24"/>
          <w:szCs w:val="24"/>
        </w:rPr>
        <w:t>have tried</w:t>
      </w:r>
      <w:r w:rsidR="00DA7E7A">
        <w:rPr>
          <w:rFonts w:ascii="Arial" w:hAnsi="Arial" w:cs="Arial"/>
          <w:sz w:val="24"/>
          <w:szCs w:val="24"/>
        </w:rPr>
        <w:t xml:space="preserve"> to support the concept of intuition rather than limiting police’s discretion. </w:t>
      </w:r>
      <w:r w:rsidR="00F03F83">
        <w:rPr>
          <w:rFonts w:ascii="Arial" w:hAnsi="Arial" w:cs="Arial"/>
          <w:sz w:val="24"/>
          <w:szCs w:val="24"/>
        </w:rPr>
        <w:t>In fact, at present</w:t>
      </w:r>
      <w:r w:rsidR="00DA7E7A">
        <w:rPr>
          <w:rFonts w:ascii="Arial" w:hAnsi="Arial" w:cs="Arial"/>
          <w:sz w:val="24"/>
          <w:szCs w:val="24"/>
        </w:rPr>
        <w:t xml:space="preserve"> officers are</w:t>
      </w:r>
      <w:r w:rsidR="00407AA3">
        <w:rPr>
          <w:rFonts w:ascii="Arial" w:hAnsi="Arial" w:cs="Arial"/>
          <w:sz w:val="24"/>
          <w:szCs w:val="24"/>
        </w:rPr>
        <w:t xml:space="preserve"> required to </w:t>
      </w:r>
      <w:r w:rsidR="000C32AB">
        <w:rPr>
          <w:rFonts w:ascii="Arial" w:hAnsi="Arial" w:cs="Arial"/>
          <w:sz w:val="24"/>
          <w:szCs w:val="24"/>
        </w:rPr>
        <w:t xml:space="preserve">focus </w:t>
      </w:r>
      <w:r w:rsidR="00393CEA">
        <w:rPr>
          <w:rFonts w:ascii="Arial" w:hAnsi="Arial" w:cs="Arial"/>
          <w:sz w:val="24"/>
          <w:szCs w:val="24"/>
        </w:rPr>
        <w:t xml:space="preserve">exclusively </w:t>
      </w:r>
      <w:r w:rsidR="000C32AB">
        <w:rPr>
          <w:rFonts w:ascii="Arial" w:hAnsi="Arial" w:cs="Arial"/>
          <w:sz w:val="24"/>
          <w:szCs w:val="24"/>
        </w:rPr>
        <w:t xml:space="preserve">on </w:t>
      </w:r>
      <w:r w:rsidR="00393CEA">
        <w:rPr>
          <w:rFonts w:ascii="Arial" w:hAnsi="Arial" w:cs="Arial"/>
          <w:sz w:val="24"/>
          <w:szCs w:val="24"/>
        </w:rPr>
        <w:t xml:space="preserve">reasonable grounds of suspicion. </w:t>
      </w:r>
      <w:r w:rsidR="000C32AB">
        <w:rPr>
          <w:rFonts w:ascii="Arial" w:hAnsi="Arial" w:cs="Arial"/>
          <w:sz w:val="24"/>
          <w:szCs w:val="24"/>
        </w:rPr>
        <w:t>Yet,</w:t>
      </w:r>
      <w:r w:rsidR="00DA7E7A">
        <w:rPr>
          <w:rFonts w:ascii="Arial" w:hAnsi="Arial" w:cs="Arial"/>
          <w:sz w:val="24"/>
          <w:szCs w:val="24"/>
        </w:rPr>
        <w:t xml:space="preserve"> </w:t>
      </w:r>
      <w:r w:rsidR="003A062A" w:rsidRPr="00495F14">
        <w:rPr>
          <w:rFonts w:ascii="Arial" w:hAnsi="Arial" w:cs="Arial"/>
          <w:sz w:val="24"/>
          <w:szCs w:val="24"/>
        </w:rPr>
        <w:t>research has proven that reasonable thoughts stem from non-conscious forms of reasonin</w:t>
      </w:r>
      <w:r w:rsidR="000C32AB">
        <w:rPr>
          <w:rFonts w:ascii="Arial" w:hAnsi="Arial" w:cs="Arial"/>
          <w:sz w:val="24"/>
          <w:szCs w:val="24"/>
        </w:rPr>
        <w:t>g and that</w:t>
      </w:r>
      <w:r w:rsidR="00470BD6">
        <w:rPr>
          <w:rFonts w:ascii="Arial" w:hAnsi="Arial" w:cs="Arial"/>
          <w:sz w:val="24"/>
          <w:szCs w:val="24"/>
        </w:rPr>
        <w:t xml:space="preserve"> the two </w:t>
      </w:r>
      <w:r w:rsidR="00AF1300" w:rsidRPr="00495F14">
        <w:rPr>
          <w:rFonts w:ascii="Arial" w:hAnsi="Arial" w:cs="Arial"/>
          <w:sz w:val="24"/>
          <w:szCs w:val="24"/>
        </w:rPr>
        <w:t>cannot be</w:t>
      </w:r>
      <w:r w:rsidR="003A062A" w:rsidRPr="00495F14">
        <w:rPr>
          <w:rFonts w:ascii="Arial" w:hAnsi="Arial" w:cs="Arial"/>
          <w:sz w:val="24"/>
          <w:szCs w:val="24"/>
        </w:rPr>
        <w:t xml:space="preserve"> divorce</w:t>
      </w:r>
      <w:r w:rsidR="00AF1300" w:rsidRPr="00495F14">
        <w:rPr>
          <w:rFonts w:ascii="Arial" w:hAnsi="Arial" w:cs="Arial"/>
          <w:sz w:val="24"/>
          <w:szCs w:val="24"/>
        </w:rPr>
        <w:t>d</w:t>
      </w:r>
      <w:r w:rsidR="006C39CD" w:rsidRPr="00495F14">
        <w:rPr>
          <w:rStyle w:val="FootnoteReference"/>
          <w:rFonts w:ascii="Arial" w:hAnsi="Arial" w:cs="Arial"/>
          <w:sz w:val="24"/>
          <w:szCs w:val="24"/>
        </w:rPr>
        <w:footnoteReference w:id="66"/>
      </w:r>
      <w:r w:rsidR="003A062A" w:rsidRPr="00495F14">
        <w:rPr>
          <w:rFonts w:ascii="Arial" w:hAnsi="Arial" w:cs="Arial"/>
          <w:sz w:val="24"/>
          <w:szCs w:val="24"/>
        </w:rPr>
        <w:t xml:space="preserve">. In particular, this </w:t>
      </w:r>
      <w:r w:rsidR="003A062A" w:rsidRPr="00C43E7C">
        <w:rPr>
          <w:rFonts w:ascii="Arial" w:hAnsi="Arial" w:cs="Arial"/>
          <w:color w:val="000000" w:themeColor="text1"/>
          <w:sz w:val="24"/>
          <w:szCs w:val="24"/>
        </w:rPr>
        <w:t>dichotomisation</w:t>
      </w:r>
      <w:r w:rsidR="003A062A" w:rsidRPr="00495F14">
        <w:rPr>
          <w:rFonts w:ascii="Arial" w:hAnsi="Arial" w:cs="Arial"/>
          <w:sz w:val="24"/>
          <w:szCs w:val="24"/>
        </w:rPr>
        <w:t xml:space="preserve"> is unrealistic considering that officers are required to make decisions in few seconds.</w:t>
      </w:r>
      <w:r w:rsidR="00801E98">
        <w:rPr>
          <w:rFonts w:ascii="Arial" w:hAnsi="Arial" w:cs="Arial"/>
          <w:sz w:val="24"/>
          <w:szCs w:val="24"/>
        </w:rPr>
        <w:t xml:space="preserve"> Therefore, they must rely on </w:t>
      </w:r>
      <w:r w:rsidR="00CD42BB" w:rsidRPr="00F967FF">
        <w:rPr>
          <w:rFonts w:ascii="Arial" w:hAnsi="Arial" w:cs="Arial"/>
          <w:sz w:val="24"/>
          <w:szCs w:val="24"/>
        </w:rPr>
        <w:t>stereotypes</w:t>
      </w:r>
      <w:r w:rsidR="00B33C88">
        <w:rPr>
          <w:rStyle w:val="FootnoteReference"/>
          <w:rFonts w:ascii="Arial" w:hAnsi="Arial" w:cs="Arial"/>
          <w:sz w:val="24"/>
          <w:szCs w:val="24"/>
        </w:rPr>
        <w:footnoteReference w:id="67"/>
      </w:r>
      <w:r w:rsidR="00494DD8">
        <w:rPr>
          <w:rFonts w:ascii="Arial" w:hAnsi="Arial" w:cs="Arial"/>
          <w:sz w:val="24"/>
          <w:szCs w:val="24"/>
        </w:rPr>
        <w:t xml:space="preserve">. While nowadays this term </w:t>
      </w:r>
      <w:r w:rsidR="00AF1300" w:rsidRPr="00495F14">
        <w:rPr>
          <w:rFonts w:ascii="Arial" w:hAnsi="Arial" w:cs="Arial"/>
          <w:sz w:val="24"/>
          <w:szCs w:val="24"/>
        </w:rPr>
        <w:t>has assumed a negative connotation</w:t>
      </w:r>
      <w:r w:rsidR="004615D4">
        <w:rPr>
          <w:rStyle w:val="FootnoteReference"/>
          <w:rFonts w:ascii="Arial" w:hAnsi="Arial" w:cs="Arial"/>
          <w:sz w:val="24"/>
          <w:szCs w:val="24"/>
        </w:rPr>
        <w:footnoteReference w:id="68"/>
      </w:r>
      <w:r w:rsidR="00AF1300" w:rsidRPr="00495F14">
        <w:rPr>
          <w:rFonts w:ascii="Arial" w:hAnsi="Arial" w:cs="Arial"/>
          <w:sz w:val="24"/>
          <w:szCs w:val="24"/>
        </w:rPr>
        <w:t>, its origina</w:t>
      </w:r>
      <w:r w:rsidR="00A87CD3">
        <w:rPr>
          <w:rFonts w:ascii="Arial" w:hAnsi="Arial" w:cs="Arial"/>
          <w:sz w:val="24"/>
          <w:szCs w:val="24"/>
        </w:rPr>
        <w:t xml:space="preserve">l meaning was </w:t>
      </w:r>
      <w:r w:rsidR="00A87CD3" w:rsidRPr="00A87CD3">
        <w:rPr>
          <w:rFonts w:ascii="Arial" w:hAnsi="Arial" w:cs="Arial"/>
          <w:i/>
          <w:sz w:val="24"/>
          <w:szCs w:val="24"/>
        </w:rPr>
        <w:t>solid impression</w:t>
      </w:r>
      <w:r w:rsidR="00AF1300" w:rsidRPr="00495F14">
        <w:rPr>
          <w:rFonts w:ascii="Arial" w:hAnsi="Arial" w:cs="Arial"/>
          <w:sz w:val="24"/>
          <w:szCs w:val="24"/>
        </w:rPr>
        <w:t xml:space="preserve">. In </w:t>
      </w:r>
      <w:r w:rsidR="0074118E">
        <w:rPr>
          <w:rFonts w:ascii="Arial" w:hAnsi="Arial" w:cs="Arial"/>
          <w:sz w:val="24"/>
          <w:szCs w:val="24"/>
        </w:rPr>
        <w:t>order to form an objective judg</w:t>
      </w:r>
      <w:r w:rsidR="00AF1300" w:rsidRPr="00495F14">
        <w:rPr>
          <w:rFonts w:ascii="Arial" w:hAnsi="Arial" w:cs="Arial"/>
          <w:sz w:val="24"/>
          <w:szCs w:val="24"/>
        </w:rPr>
        <w:t xml:space="preserve">ment a human brain has to draw upon information which it has collected </w:t>
      </w:r>
      <w:r w:rsidR="00C81C7A">
        <w:rPr>
          <w:rFonts w:ascii="Arial" w:hAnsi="Arial" w:cs="Arial"/>
          <w:sz w:val="24"/>
          <w:szCs w:val="24"/>
        </w:rPr>
        <w:t>over</w:t>
      </w:r>
      <w:r w:rsidR="00AF1300" w:rsidRPr="00495F14">
        <w:rPr>
          <w:rFonts w:ascii="Arial" w:hAnsi="Arial" w:cs="Arial"/>
          <w:sz w:val="24"/>
          <w:szCs w:val="24"/>
        </w:rPr>
        <w:t xml:space="preserve"> years. </w:t>
      </w:r>
      <w:r w:rsidR="006C39CD" w:rsidRPr="00495F14">
        <w:rPr>
          <w:rFonts w:ascii="Arial" w:hAnsi="Arial" w:cs="Arial"/>
          <w:sz w:val="24"/>
          <w:szCs w:val="24"/>
        </w:rPr>
        <w:t>Consequently,</w:t>
      </w:r>
      <w:r w:rsidR="004D4057">
        <w:rPr>
          <w:rFonts w:ascii="Arial" w:hAnsi="Arial" w:cs="Arial"/>
          <w:sz w:val="24"/>
          <w:szCs w:val="24"/>
        </w:rPr>
        <w:t xml:space="preserve"> since</w:t>
      </w:r>
      <w:r w:rsidR="006C39CD" w:rsidRPr="00495F14">
        <w:rPr>
          <w:rFonts w:ascii="Arial" w:hAnsi="Arial" w:cs="Arial"/>
          <w:sz w:val="24"/>
          <w:szCs w:val="24"/>
        </w:rPr>
        <w:t xml:space="preserve"> </w:t>
      </w:r>
      <w:r w:rsidR="00BA593E" w:rsidRPr="00495F14">
        <w:rPr>
          <w:rFonts w:ascii="Arial" w:hAnsi="Arial" w:cs="Arial"/>
          <w:sz w:val="24"/>
          <w:szCs w:val="24"/>
        </w:rPr>
        <w:t>a considerable proportion of the intuition process ha</w:t>
      </w:r>
      <w:r w:rsidR="004D4057">
        <w:rPr>
          <w:rFonts w:ascii="Arial" w:hAnsi="Arial" w:cs="Arial"/>
          <w:sz w:val="24"/>
          <w:szCs w:val="24"/>
        </w:rPr>
        <w:t xml:space="preserve">ppens at a non-conscious level, </w:t>
      </w:r>
      <w:r w:rsidR="00BA593E" w:rsidRPr="00495F14">
        <w:rPr>
          <w:rFonts w:ascii="Arial" w:hAnsi="Arial" w:cs="Arial"/>
          <w:sz w:val="24"/>
          <w:szCs w:val="24"/>
        </w:rPr>
        <w:t xml:space="preserve">policemen find it hard to provide valid </w:t>
      </w:r>
      <w:r w:rsidR="00BA593E" w:rsidRPr="00495F14">
        <w:rPr>
          <w:rFonts w:ascii="Arial" w:hAnsi="Arial" w:cs="Arial"/>
          <w:sz w:val="24"/>
          <w:szCs w:val="24"/>
        </w:rPr>
        <w:lastRenderedPageBreak/>
        <w:t>motivations for their actions</w:t>
      </w:r>
      <w:r w:rsidR="00CE41FE">
        <w:rPr>
          <w:rStyle w:val="FootnoteReference"/>
          <w:rFonts w:ascii="Arial" w:hAnsi="Arial" w:cs="Arial"/>
          <w:sz w:val="24"/>
          <w:szCs w:val="24"/>
        </w:rPr>
        <w:footnoteReference w:id="69"/>
      </w:r>
      <w:r w:rsidR="00BA593E" w:rsidRPr="00495F14">
        <w:rPr>
          <w:rFonts w:ascii="Arial" w:hAnsi="Arial" w:cs="Arial"/>
          <w:sz w:val="24"/>
          <w:szCs w:val="24"/>
        </w:rPr>
        <w:t>. Although judges favour those who manage to convey their feelings</w:t>
      </w:r>
      <w:r w:rsidR="000C1128">
        <w:rPr>
          <w:rFonts w:ascii="Arial" w:hAnsi="Arial" w:cs="Arial"/>
          <w:sz w:val="24"/>
          <w:szCs w:val="24"/>
        </w:rPr>
        <w:t xml:space="preserve"> and insist</w:t>
      </w:r>
      <w:r w:rsidR="00A77841" w:rsidRPr="00495F14">
        <w:rPr>
          <w:rFonts w:ascii="Arial" w:hAnsi="Arial" w:cs="Arial"/>
          <w:sz w:val="24"/>
          <w:szCs w:val="24"/>
        </w:rPr>
        <w:t xml:space="preserve"> on</w:t>
      </w:r>
      <w:r w:rsidR="00855C0D">
        <w:rPr>
          <w:rFonts w:ascii="Arial" w:hAnsi="Arial" w:cs="Arial"/>
          <w:sz w:val="24"/>
          <w:szCs w:val="24"/>
        </w:rPr>
        <w:t xml:space="preserve"> expecting sophisticated answers for policy and accountability reasons</w:t>
      </w:r>
      <w:r w:rsidR="00A77841" w:rsidRPr="00495F14">
        <w:rPr>
          <w:rFonts w:ascii="Arial" w:hAnsi="Arial" w:cs="Arial"/>
          <w:sz w:val="24"/>
          <w:szCs w:val="24"/>
        </w:rPr>
        <w:t xml:space="preserve">, </w:t>
      </w:r>
      <w:r w:rsidR="00EC3805">
        <w:rPr>
          <w:rFonts w:ascii="Arial" w:hAnsi="Arial" w:cs="Arial"/>
          <w:sz w:val="24"/>
          <w:szCs w:val="24"/>
        </w:rPr>
        <w:t>their</w:t>
      </w:r>
      <w:r w:rsidR="000C1128">
        <w:rPr>
          <w:rFonts w:ascii="Arial" w:hAnsi="Arial" w:cs="Arial"/>
          <w:sz w:val="24"/>
          <w:szCs w:val="24"/>
        </w:rPr>
        <w:t xml:space="preserve"> attitude turns out to </w:t>
      </w:r>
      <w:r w:rsidR="00F00820">
        <w:rPr>
          <w:rFonts w:ascii="Arial" w:hAnsi="Arial" w:cs="Arial"/>
          <w:sz w:val="24"/>
          <w:szCs w:val="24"/>
        </w:rPr>
        <w:t xml:space="preserve">increase </w:t>
      </w:r>
      <w:r w:rsidR="00A77841" w:rsidRPr="00495F14">
        <w:rPr>
          <w:rFonts w:ascii="Arial" w:hAnsi="Arial" w:cs="Arial"/>
          <w:sz w:val="24"/>
          <w:szCs w:val="24"/>
        </w:rPr>
        <w:t>policemen’s verbiage</w:t>
      </w:r>
      <w:r w:rsidR="00F93BC2">
        <w:rPr>
          <w:rFonts w:ascii="Arial" w:hAnsi="Arial" w:cs="Arial"/>
          <w:sz w:val="24"/>
          <w:szCs w:val="24"/>
        </w:rPr>
        <w:t xml:space="preserve"> rather than reduce</w:t>
      </w:r>
      <w:r w:rsidR="00F00820">
        <w:rPr>
          <w:rFonts w:ascii="Arial" w:hAnsi="Arial" w:cs="Arial"/>
          <w:sz w:val="24"/>
          <w:szCs w:val="24"/>
        </w:rPr>
        <w:t xml:space="preserve"> discrimination</w:t>
      </w:r>
      <w:r w:rsidR="00CE41FE">
        <w:rPr>
          <w:rStyle w:val="FootnoteReference"/>
          <w:rFonts w:ascii="Arial" w:hAnsi="Arial" w:cs="Arial"/>
          <w:sz w:val="24"/>
          <w:szCs w:val="24"/>
        </w:rPr>
        <w:footnoteReference w:id="70"/>
      </w:r>
      <w:r w:rsidR="00F00820">
        <w:rPr>
          <w:rFonts w:ascii="Arial" w:hAnsi="Arial" w:cs="Arial"/>
          <w:sz w:val="24"/>
          <w:szCs w:val="24"/>
        </w:rPr>
        <w:t xml:space="preserve">. As </w:t>
      </w:r>
      <w:r w:rsidR="00A84DAD" w:rsidRPr="00495F14">
        <w:rPr>
          <w:rFonts w:ascii="Arial" w:hAnsi="Arial" w:cs="Arial"/>
          <w:sz w:val="24"/>
          <w:szCs w:val="24"/>
        </w:rPr>
        <w:t>sixth sense is a crucial factor in the police</w:t>
      </w:r>
      <w:r w:rsidR="00A84DAD" w:rsidRPr="00EB1364">
        <w:rPr>
          <w:rFonts w:ascii="Arial" w:hAnsi="Arial" w:cs="Arial"/>
          <w:color w:val="000000" w:themeColor="text1"/>
          <w:sz w:val="24"/>
          <w:szCs w:val="24"/>
        </w:rPr>
        <w:t>’s</w:t>
      </w:r>
      <w:r w:rsidR="00A84DAD" w:rsidRPr="00495F14">
        <w:rPr>
          <w:rFonts w:ascii="Arial" w:hAnsi="Arial" w:cs="Arial"/>
          <w:sz w:val="24"/>
          <w:szCs w:val="24"/>
        </w:rPr>
        <w:t xml:space="preserve"> success</w:t>
      </w:r>
      <w:r w:rsidR="00F00820">
        <w:rPr>
          <w:rFonts w:ascii="Arial" w:hAnsi="Arial" w:cs="Arial"/>
          <w:sz w:val="24"/>
          <w:szCs w:val="24"/>
        </w:rPr>
        <w:t xml:space="preserve"> </w:t>
      </w:r>
      <w:r w:rsidR="00470BD6">
        <w:rPr>
          <w:rFonts w:ascii="Arial" w:hAnsi="Arial" w:cs="Arial"/>
          <w:sz w:val="24"/>
          <w:szCs w:val="24"/>
        </w:rPr>
        <w:t>s</w:t>
      </w:r>
      <w:r w:rsidR="00066246">
        <w:rPr>
          <w:rFonts w:ascii="Arial" w:hAnsi="Arial" w:cs="Arial"/>
          <w:sz w:val="24"/>
          <w:szCs w:val="24"/>
        </w:rPr>
        <w:t>o</w:t>
      </w:r>
      <w:r w:rsidR="009743FB" w:rsidRPr="00495F14">
        <w:rPr>
          <w:rFonts w:ascii="Arial" w:hAnsi="Arial" w:cs="Arial"/>
          <w:sz w:val="24"/>
          <w:szCs w:val="24"/>
        </w:rPr>
        <w:t xml:space="preserve">me </w:t>
      </w:r>
      <w:r w:rsidR="004D4057">
        <w:rPr>
          <w:rFonts w:ascii="Arial" w:hAnsi="Arial" w:cs="Arial"/>
          <w:sz w:val="24"/>
          <w:szCs w:val="24"/>
        </w:rPr>
        <w:t>maintain</w:t>
      </w:r>
      <w:r w:rsidR="009743FB" w:rsidRPr="00495F14">
        <w:rPr>
          <w:rFonts w:ascii="Arial" w:hAnsi="Arial" w:cs="Arial"/>
          <w:sz w:val="24"/>
          <w:szCs w:val="24"/>
        </w:rPr>
        <w:t xml:space="preserve"> that the government should invest on </w:t>
      </w:r>
      <w:r w:rsidR="004D4057">
        <w:rPr>
          <w:rFonts w:ascii="Arial" w:hAnsi="Arial" w:cs="Arial"/>
          <w:sz w:val="24"/>
          <w:szCs w:val="24"/>
        </w:rPr>
        <w:t>training officers</w:t>
      </w:r>
      <w:r w:rsidR="009743FB" w:rsidRPr="00495F14">
        <w:rPr>
          <w:rFonts w:ascii="Arial" w:hAnsi="Arial" w:cs="Arial"/>
          <w:sz w:val="24"/>
          <w:szCs w:val="24"/>
        </w:rPr>
        <w:t xml:space="preserve"> in order to eradicate </w:t>
      </w:r>
      <w:r w:rsidR="00F00820" w:rsidRPr="00495F14">
        <w:rPr>
          <w:rFonts w:ascii="Arial" w:hAnsi="Arial" w:cs="Arial"/>
          <w:sz w:val="24"/>
          <w:szCs w:val="24"/>
        </w:rPr>
        <w:t>cultural influences l</w:t>
      </w:r>
      <w:r w:rsidR="00F00820">
        <w:rPr>
          <w:rFonts w:ascii="Arial" w:hAnsi="Arial" w:cs="Arial"/>
          <w:sz w:val="24"/>
          <w:szCs w:val="24"/>
        </w:rPr>
        <w:t xml:space="preserve">eading to racism </w:t>
      </w:r>
      <w:r w:rsidR="009743FB" w:rsidRPr="00495F14">
        <w:rPr>
          <w:rFonts w:ascii="Arial" w:hAnsi="Arial" w:cs="Arial"/>
          <w:sz w:val="24"/>
          <w:szCs w:val="24"/>
        </w:rPr>
        <w:t>from their mind</w:t>
      </w:r>
      <w:r w:rsidR="004D4057">
        <w:rPr>
          <w:rFonts w:ascii="Arial" w:hAnsi="Arial" w:cs="Arial"/>
          <w:sz w:val="24"/>
          <w:szCs w:val="24"/>
        </w:rPr>
        <w:t>s</w:t>
      </w:r>
      <w:r w:rsidR="00B50123">
        <w:rPr>
          <w:rStyle w:val="FootnoteReference"/>
          <w:rFonts w:ascii="Arial" w:hAnsi="Arial" w:cs="Arial"/>
          <w:sz w:val="24"/>
          <w:szCs w:val="24"/>
        </w:rPr>
        <w:footnoteReference w:id="71"/>
      </w:r>
      <w:r w:rsidR="009A35F1">
        <w:rPr>
          <w:rFonts w:ascii="Arial" w:hAnsi="Arial" w:cs="Arial"/>
          <w:sz w:val="24"/>
          <w:szCs w:val="24"/>
        </w:rPr>
        <w:t>.</w:t>
      </w:r>
    </w:p>
    <w:p w14:paraId="2BED942F" w14:textId="77777777" w:rsidR="00925BA7" w:rsidRPr="00495F14" w:rsidRDefault="00925BA7" w:rsidP="00F91605">
      <w:pPr>
        <w:spacing w:line="360" w:lineRule="auto"/>
        <w:ind w:left="1417"/>
        <w:jc w:val="both"/>
        <w:rPr>
          <w:rFonts w:ascii="Arial" w:hAnsi="Arial" w:cs="Arial"/>
          <w:sz w:val="24"/>
          <w:szCs w:val="24"/>
        </w:rPr>
      </w:pPr>
    </w:p>
    <w:p w14:paraId="545A8DF0" w14:textId="77777777" w:rsidR="00765A8C" w:rsidRDefault="00925BA7" w:rsidP="007A1C99">
      <w:pPr>
        <w:spacing w:after="0" w:line="360" w:lineRule="auto"/>
        <w:ind w:left="1417"/>
        <w:jc w:val="both"/>
        <w:rPr>
          <w:rFonts w:ascii="Arial" w:hAnsi="Arial" w:cs="Arial"/>
          <w:sz w:val="24"/>
          <w:szCs w:val="24"/>
        </w:rPr>
      </w:pPr>
      <w:r w:rsidRPr="00495F14">
        <w:rPr>
          <w:rFonts w:ascii="Arial" w:hAnsi="Arial" w:cs="Arial"/>
          <w:sz w:val="24"/>
          <w:szCs w:val="24"/>
        </w:rPr>
        <w:t xml:space="preserve">Although the arguments supporting a more intuitive approach seem strong, the government has not taken them into account. In contrast, it has tried to regulate stops and searches </w:t>
      </w:r>
      <w:r w:rsidR="00980B3F">
        <w:rPr>
          <w:rFonts w:ascii="Arial" w:hAnsi="Arial" w:cs="Arial"/>
          <w:sz w:val="24"/>
          <w:szCs w:val="24"/>
        </w:rPr>
        <w:t xml:space="preserve">powers by </w:t>
      </w:r>
      <w:r w:rsidR="000A7A6B">
        <w:rPr>
          <w:rFonts w:ascii="Arial" w:hAnsi="Arial" w:cs="Arial"/>
          <w:sz w:val="24"/>
          <w:szCs w:val="24"/>
        </w:rPr>
        <w:t>heightening</w:t>
      </w:r>
      <w:r w:rsidR="00980B3F">
        <w:rPr>
          <w:rFonts w:ascii="Arial" w:hAnsi="Arial" w:cs="Arial"/>
          <w:sz w:val="24"/>
          <w:szCs w:val="24"/>
        </w:rPr>
        <w:t xml:space="preserve"> awareness and limiting officers’ discretion. </w:t>
      </w:r>
      <w:r w:rsidR="006B1076">
        <w:rPr>
          <w:rFonts w:ascii="Arial" w:hAnsi="Arial" w:cs="Arial"/>
          <w:sz w:val="24"/>
          <w:szCs w:val="24"/>
        </w:rPr>
        <w:t>First</w:t>
      </w:r>
      <w:r w:rsidRPr="00495F14">
        <w:rPr>
          <w:rFonts w:ascii="Arial" w:hAnsi="Arial" w:cs="Arial"/>
          <w:sz w:val="24"/>
          <w:szCs w:val="24"/>
        </w:rPr>
        <w:t xml:space="preserve">, it has </w:t>
      </w:r>
      <w:r w:rsidR="0047560C" w:rsidRPr="00495F14">
        <w:rPr>
          <w:rFonts w:ascii="Arial" w:hAnsi="Arial" w:cs="Arial"/>
          <w:sz w:val="24"/>
          <w:szCs w:val="24"/>
        </w:rPr>
        <w:t xml:space="preserve">designed several pilots across the country which tested </w:t>
      </w:r>
      <w:r w:rsidR="00DD3132">
        <w:rPr>
          <w:rFonts w:ascii="Arial" w:hAnsi="Arial" w:cs="Arial"/>
          <w:sz w:val="24"/>
          <w:szCs w:val="24"/>
        </w:rPr>
        <w:t xml:space="preserve">the </w:t>
      </w:r>
      <w:r w:rsidR="0047560C" w:rsidRPr="00495F14">
        <w:rPr>
          <w:rFonts w:ascii="Arial" w:hAnsi="Arial" w:cs="Arial"/>
          <w:sz w:val="24"/>
          <w:szCs w:val="24"/>
        </w:rPr>
        <w:t xml:space="preserve">use of and </w:t>
      </w:r>
      <w:r w:rsidR="00682828">
        <w:rPr>
          <w:rFonts w:ascii="Arial" w:hAnsi="Arial" w:cs="Arial"/>
          <w:sz w:val="24"/>
          <w:szCs w:val="24"/>
        </w:rPr>
        <w:t xml:space="preserve">the </w:t>
      </w:r>
      <w:r w:rsidR="0047560C" w:rsidRPr="00495F14">
        <w:rPr>
          <w:rFonts w:ascii="Arial" w:hAnsi="Arial" w:cs="Arial"/>
          <w:sz w:val="24"/>
          <w:szCs w:val="24"/>
        </w:rPr>
        <w:t>reactions to the written forms that officers were obliged to give to people</w:t>
      </w:r>
      <w:r w:rsidR="00F749CF">
        <w:rPr>
          <w:rStyle w:val="FootnoteReference"/>
          <w:rFonts w:ascii="Arial" w:hAnsi="Arial" w:cs="Arial"/>
          <w:sz w:val="24"/>
          <w:szCs w:val="24"/>
        </w:rPr>
        <w:footnoteReference w:id="72"/>
      </w:r>
      <w:r w:rsidR="0047560C" w:rsidRPr="00495F14">
        <w:rPr>
          <w:rFonts w:ascii="Arial" w:hAnsi="Arial" w:cs="Arial"/>
          <w:sz w:val="24"/>
          <w:szCs w:val="24"/>
        </w:rPr>
        <w:t xml:space="preserve">. </w:t>
      </w:r>
      <w:r w:rsidR="00453A84" w:rsidRPr="00453A84">
        <w:rPr>
          <w:rFonts w:ascii="Arial" w:hAnsi="Arial" w:cs="Arial"/>
          <w:sz w:val="24"/>
          <w:szCs w:val="24"/>
        </w:rPr>
        <w:t>Indeed,</w:t>
      </w:r>
      <w:r w:rsidR="00453A84">
        <w:rPr>
          <w:rFonts w:ascii="Arial" w:hAnsi="Arial" w:cs="Arial"/>
          <w:i/>
          <w:sz w:val="24"/>
          <w:szCs w:val="24"/>
        </w:rPr>
        <w:t xml:space="preserve"> </w:t>
      </w:r>
      <w:r w:rsidR="00453A84">
        <w:rPr>
          <w:rFonts w:ascii="Arial" w:hAnsi="Arial" w:cs="Arial"/>
          <w:sz w:val="24"/>
          <w:szCs w:val="24"/>
        </w:rPr>
        <w:t>t</w:t>
      </w:r>
      <w:r w:rsidR="0047560C" w:rsidRPr="00495F14">
        <w:rPr>
          <w:rFonts w:ascii="Arial" w:hAnsi="Arial" w:cs="Arial"/>
          <w:sz w:val="24"/>
          <w:szCs w:val="24"/>
        </w:rPr>
        <w:t>his measure seem</w:t>
      </w:r>
      <w:r w:rsidR="000A7A6B">
        <w:rPr>
          <w:rFonts w:ascii="Arial" w:hAnsi="Arial" w:cs="Arial"/>
          <w:sz w:val="24"/>
          <w:szCs w:val="24"/>
        </w:rPr>
        <w:t>ed</w:t>
      </w:r>
      <w:r w:rsidR="0047560C" w:rsidRPr="00495F14">
        <w:rPr>
          <w:rFonts w:ascii="Arial" w:hAnsi="Arial" w:cs="Arial"/>
          <w:sz w:val="24"/>
          <w:szCs w:val="24"/>
        </w:rPr>
        <w:t xml:space="preserve"> to work as citizens understood their rights and therefore how to behave</w:t>
      </w:r>
      <w:r w:rsidR="00403F87">
        <w:rPr>
          <w:rStyle w:val="FootnoteReference"/>
          <w:rFonts w:ascii="Arial" w:hAnsi="Arial" w:cs="Arial"/>
          <w:sz w:val="24"/>
          <w:szCs w:val="24"/>
        </w:rPr>
        <w:footnoteReference w:id="73"/>
      </w:r>
      <w:r w:rsidR="0047560C" w:rsidRPr="00495F14">
        <w:rPr>
          <w:rFonts w:ascii="Arial" w:hAnsi="Arial" w:cs="Arial"/>
          <w:sz w:val="24"/>
          <w:szCs w:val="24"/>
        </w:rPr>
        <w:t xml:space="preserve">. This was also achieved thanks to </w:t>
      </w:r>
      <w:r w:rsidR="00446530">
        <w:rPr>
          <w:rFonts w:ascii="Arial" w:hAnsi="Arial" w:cs="Arial"/>
          <w:sz w:val="24"/>
          <w:szCs w:val="24"/>
        </w:rPr>
        <w:t xml:space="preserve">the </w:t>
      </w:r>
      <w:r w:rsidR="0047560C" w:rsidRPr="00495F14">
        <w:rPr>
          <w:rFonts w:ascii="Arial" w:hAnsi="Arial" w:cs="Arial"/>
          <w:sz w:val="24"/>
          <w:szCs w:val="24"/>
        </w:rPr>
        <w:t>APA</w:t>
      </w:r>
      <w:r w:rsidR="00403F87">
        <w:rPr>
          <w:rStyle w:val="FootnoteReference"/>
          <w:rFonts w:ascii="Arial" w:hAnsi="Arial" w:cs="Arial"/>
          <w:sz w:val="24"/>
          <w:szCs w:val="24"/>
        </w:rPr>
        <w:footnoteReference w:id="74"/>
      </w:r>
      <w:r w:rsidR="0047560C" w:rsidRPr="00495F14">
        <w:rPr>
          <w:rFonts w:ascii="Arial" w:hAnsi="Arial" w:cs="Arial"/>
          <w:sz w:val="24"/>
          <w:szCs w:val="24"/>
        </w:rPr>
        <w:t xml:space="preserve"> </w:t>
      </w:r>
      <w:r w:rsidR="000A7A6B">
        <w:rPr>
          <w:rFonts w:ascii="Arial" w:hAnsi="Arial" w:cs="Arial"/>
          <w:sz w:val="24"/>
          <w:szCs w:val="24"/>
        </w:rPr>
        <w:t>which</w:t>
      </w:r>
      <w:r w:rsidR="0047560C" w:rsidRPr="00495F14">
        <w:rPr>
          <w:rFonts w:ascii="Arial" w:hAnsi="Arial" w:cs="Arial"/>
          <w:sz w:val="24"/>
          <w:szCs w:val="24"/>
        </w:rPr>
        <w:t xml:space="preserve"> distributed leaflets and publicity materials. In </w:t>
      </w:r>
      <w:r w:rsidR="00C25A55" w:rsidRPr="00495F14">
        <w:rPr>
          <w:rFonts w:ascii="Arial" w:hAnsi="Arial" w:cs="Arial"/>
          <w:sz w:val="24"/>
          <w:szCs w:val="24"/>
        </w:rPr>
        <w:t>addition, people</w:t>
      </w:r>
      <w:r w:rsidR="0047560C" w:rsidRPr="00495F14">
        <w:rPr>
          <w:rFonts w:ascii="Arial" w:hAnsi="Arial" w:cs="Arial"/>
          <w:sz w:val="24"/>
          <w:szCs w:val="24"/>
        </w:rPr>
        <w:t xml:space="preserve"> were satisfied that they could keep these papers especially if they intended to file a complaint</w:t>
      </w:r>
      <w:r w:rsidR="001601F1">
        <w:rPr>
          <w:rStyle w:val="FootnoteReference"/>
          <w:rFonts w:ascii="Arial" w:hAnsi="Arial" w:cs="Arial"/>
          <w:sz w:val="24"/>
          <w:szCs w:val="24"/>
        </w:rPr>
        <w:footnoteReference w:id="75"/>
      </w:r>
      <w:r w:rsidR="0047560C" w:rsidRPr="00495F14">
        <w:rPr>
          <w:rFonts w:ascii="Arial" w:hAnsi="Arial" w:cs="Arial"/>
          <w:sz w:val="24"/>
          <w:szCs w:val="24"/>
        </w:rPr>
        <w:t xml:space="preserve">. However, although </w:t>
      </w:r>
      <w:r w:rsidR="001601F1">
        <w:rPr>
          <w:rFonts w:ascii="Arial" w:hAnsi="Arial" w:cs="Arial"/>
          <w:sz w:val="24"/>
          <w:szCs w:val="24"/>
        </w:rPr>
        <w:t>they</w:t>
      </w:r>
      <w:r w:rsidR="0047560C" w:rsidRPr="00495F14">
        <w:rPr>
          <w:rFonts w:ascii="Arial" w:hAnsi="Arial" w:cs="Arial"/>
          <w:sz w:val="24"/>
          <w:szCs w:val="24"/>
        </w:rPr>
        <w:t xml:space="preserve"> seemed more professional, </w:t>
      </w:r>
      <w:r w:rsidR="001601F1">
        <w:rPr>
          <w:rFonts w:ascii="Arial" w:hAnsi="Arial" w:cs="Arial"/>
          <w:sz w:val="24"/>
          <w:szCs w:val="24"/>
        </w:rPr>
        <w:t>policemen</w:t>
      </w:r>
      <w:r w:rsidR="0047560C" w:rsidRPr="00495F14">
        <w:rPr>
          <w:rFonts w:ascii="Arial" w:hAnsi="Arial" w:cs="Arial"/>
          <w:sz w:val="24"/>
          <w:szCs w:val="24"/>
        </w:rPr>
        <w:t xml:space="preserve"> lamented that forms were time-consuming</w:t>
      </w:r>
      <w:r w:rsidR="001601F1">
        <w:rPr>
          <w:rStyle w:val="FootnoteReference"/>
          <w:rFonts w:ascii="Arial" w:hAnsi="Arial" w:cs="Arial"/>
          <w:sz w:val="24"/>
          <w:szCs w:val="24"/>
        </w:rPr>
        <w:footnoteReference w:id="76"/>
      </w:r>
      <w:r w:rsidR="0047560C" w:rsidRPr="00495F14">
        <w:rPr>
          <w:rFonts w:ascii="Arial" w:hAnsi="Arial" w:cs="Arial"/>
          <w:sz w:val="24"/>
          <w:szCs w:val="24"/>
        </w:rPr>
        <w:t xml:space="preserve">. Secondly, </w:t>
      </w:r>
      <w:r w:rsidR="00004132" w:rsidRPr="00495F14">
        <w:rPr>
          <w:rFonts w:ascii="Arial" w:hAnsi="Arial" w:cs="Arial"/>
          <w:sz w:val="24"/>
          <w:szCs w:val="24"/>
        </w:rPr>
        <w:t>the government favour</w:t>
      </w:r>
      <w:r w:rsidR="00222736">
        <w:rPr>
          <w:rFonts w:ascii="Arial" w:hAnsi="Arial" w:cs="Arial"/>
          <w:sz w:val="24"/>
          <w:szCs w:val="24"/>
        </w:rPr>
        <w:t xml:space="preserve">ed the creation of neighbourhood policies </w:t>
      </w:r>
      <w:r w:rsidR="00004132" w:rsidRPr="00495F14">
        <w:rPr>
          <w:rFonts w:ascii="Arial" w:hAnsi="Arial" w:cs="Arial"/>
          <w:sz w:val="24"/>
          <w:szCs w:val="24"/>
        </w:rPr>
        <w:t>between police and communities which appeared to work</w:t>
      </w:r>
      <w:r w:rsidR="004E2D93" w:rsidRPr="00495F14">
        <w:rPr>
          <w:rStyle w:val="FootnoteReference"/>
          <w:rFonts w:ascii="Arial" w:hAnsi="Arial" w:cs="Arial"/>
          <w:sz w:val="24"/>
          <w:szCs w:val="24"/>
        </w:rPr>
        <w:footnoteReference w:id="77"/>
      </w:r>
      <w:r w:rsidR="00004132" w:rsidRPr="00495F14">
        <w:rPr>
          <w:rFonts w:ascii="Arial" w:hAnsi="Arial" w:cs="Arial"/>
          <w:sz w:val="24"/>
          <w:szCs w:val="24"/>
        </w:rPr>
        <w:t>. Thirdly, more</w:t>
      </w:r>
      <w:r w:rsidR="00BF6E59" w:rsidRPr="00495F14">
        <w:rPr>
          <w:rFonts w:ascii="Arial" w:hAnsi="Arial" w:cs="Arial"/>
          <w:sz w:val="24"/>
          <w:szCs w:val="24"/>
        </w:rPr>
        <w:t xml:space="preserve"> people belonging to minorities</w:t>
      </w:r>
      <w:r w:rsidR="00057418">
        <w:rPr>
          <w:rFonts w:ascii="Arial" w:hAnsi="Arial" w:cs="Arial"/>
          <w:sz w:val="24"/>
          <w:szCs w:val="24"/>
        </w:rPr>
        <w:t xml:space="preserve"> were employed</w:t>
      </w:r>
      <w:r w:rsidR="00BF6E59" w:rsidRPr="00495F14">
        <w:rPr>
          <w:rFonts w:ascii="Arial" w:hAnsi="Arial" w:cs="Arial"/>
          <w:sz w:val="24"/>
          <w:szCs w:val="24"/>
        </w:rPr>
        <w:t xml:space="preserve">, </w:t>
      </w:r>
      <w:r w:rsidR="00D8611D">
        <w:rPr>
          <w:rFonts w:ascii="Arial" w:hAnsi="Arial" w:cs="Arial"/>
          <w:sz w:val="24"/>
          <w:szCs w:val="24"/>
        </w:rPr>
        <w:lastRenderedPageBreak/>
        <w:t>reaching a peak in 2009 of 2.6 percent</w:t>
      </w:r>
      <w:r w:rsidR="004E2D93" w:rsidRPr="00495F14">
        <w:rPr>
          <w:rStyle w:val="FootnoteReference"/>
          <w:rFonts w:ascii="Arial" w:hAnsi="Arial" w:cs="Arial"/>
          <w:sz w:val="24"/>
          <w:szCs w:val="24"/>
        </w:rPr>
        <w:footnoteReference w:id="78"/>
      </w:r>
      <w:r w:rsidR="004E2D93" w:rsidRPr="00495F14">
        <w:rPr>
          <w:rFonts w:ascii="Arial" w:hAnsi="Arial" w:cs="Arial"/>
          <w:sz w:val="24"/>
          <w:szCs w:val="24"/>
        </w:rPr>
        <w:t>.</w:t>
      </w:r>
      <w:r w:rsidR="00D20072">
        <w:rPr>
          <w:rFonts w:ascii="Arial" w:hAnsi="Arial" w:cs="Arial"/>
          <w:sz w:val="24"/>
          <w:szCs w:val="24"/>
        </w:rPr>
        <w:t xml:space="preserve"> </w:t>
      </w:r>
      <w:r w:rsidR="004E2D93" w:rsidRPr="00495F14">
        <w:rPr>
          <w:rFonts w:ascii="Arial" w:hAnsi="Arial" w:cs="Arial"/>
          <w:sz w:val="24"/>
          <w:szCs w:val="24"/>
        </w:rPr>
        <w:t>As far as legislation is concerned,</w:t>
      </w:r>
      <w:r w:rsidR="00421D49" w:rsidRPr="00495F14">
        <w:rPr>
          <w:rFonts w:ascii="Arial" w:hAnsi="Arial" w:cs="Arial"/>
          <w:sz w:val="24"/>
          <w:szCs w:val="24"/>
        </w:rPr>
        <w:t xml:space="preserve"> the executive and legislative branches have introduced </w:t>
      </w:r>
      <w:r w:rsidR="00222736">
        <w:rPr>
          <w:rFonts w:ascii="Arial" w:hAnsi="Arial" w:cs="Arial"/>
          <w:sz w:val="24"/>
          <w:szCs w:val="24"/>
        </w:rPr>
        <w:t>statutes</w:t>
      </w:r>
      <w:r w:rsidR="00421D49" w:rsidRPr="00495F14">
        <w:rPr>
          <w:rFonts w:ascii="Arial" w:hAnsi="Arial" w:cs="Arial"/>
          <w:sz w:val="24"/>
          <w:szCs w:val="24"/>
        </w:rPr>
        <w:t xml:space="preserve"> in order to comply with </w:t>
      </w:r>
      <w:r w:rsidR="00222736">
        <w:rPr>
          <w:rFonts w:ascii="Arial" w:hAnsi="Arial" w:cs="Arial"/>
          <w:sz w:val="24"/>
          <w:szCs w:val="24"/>
        </w:rPr>
        <w:t>HRA 1998</w:t>
      </w:r>
      <w:r w:rsidR="0032448B">
        <w:rPr>
          <w:rStyle w:val="FootnoteReference"/>
          <w:rFonts w:ascii="Arial" w:hAnsi="Arial" w:cs="Arial"/>
          <w:sz w:val="24"/>
          <w:szCs w:val="24"/>
        </w:rPr>
        <w:footnoteReference w:id="79"/>
      </w:r>
      <w:r w:rsidR="00222736">
        <w:rPr>
          <w:rFonts w:ascii="Arial" w:hAnsi="Arial" w:cs="Arial"/>
          <w:sz w:val="24"/>
          <w:szCs w:val="24"/>
        </w:rPr>
        <w:t>,</w:t>
      </w:r>
      <w:r w:rsidR="004E2D93" w:rsidRPr="00495F14">
        <w:rPr>
          <w:rFonts w:ascii="Arial" w:hAnsi="Arial" w:cs="Arial"/>
          <w:sz w:val="24"/>
          <w:szCs w:val="24"/>
        </w:rPr>
        <w:t xml:space="preserve"> particularly after the ruling in </w:t>
      </w:r>
      <w:r w:rsidR="004E2D93" w:rsidRPr="000404F3">
        <w:rPr>
          <w:rFonts w:ascii="Arial" w:hAnsi="Arial" w:cs="Arial"/>
          <w:b/>
          <w:i/>
          <w:sz w:val="24"/>
          <w:szCs w:val="24"/>
          <w:u w:val="single"/>
        </w:rPr>
        <w:t>Gillan</w:t>
      </w:r>
      <w:r w:rsidR="009220FC" w:rsidRPr="00495F14">
        <w:rPr>
          <w:rStyle w:val="FootnoteReference"/>
          <w:rFonts w:ascii="Arial" w:hAnsi="Arial" w:cs="Arial"/>
          <w:sz w:val="24"/>
          <w:szCs w:val="24"/>
        </w:rPr>
        <w:footnoteReference w:id="80"/>
      </w:r>
      <w:r w:rsidR="00421D49" w:rsidRPr="00495F14">
        <w:rPr>
          <w:rFonts w:ascii="Arial" w:hAnsi="Arial" w:cs="Arial"/>
          <w:sz w:val="24"/>
          <w:szCs w:val="24"/>
        </w:rPr>
        <w:t xml:space="preserve">. For instance, the </w:t>
      </w:r>
      <w:r w:rsidR="00421D49" w:rsidRPr="008D63DA">
        <w:rPr>
          <w:rFonts w:ascii="Arial" w:hAnsi="Arial" w:cs="Arial"/>
          <w:i/>
          <w:sz w:val="24"/>
          <w:szCs w:val="24"/>
          <w:u w:val="single"/>
        </w:rPr>
        <w:t>Terrorism (Remedial) Order Act</w:t>
      </w:r>
      <w:r w:rsidR="00E139A8">
        <w:rPr>
          <w:rStyle w:val="FootnoteReference"/>
          <w:rFonts w:ascii="Arial" w:hAnsi="Arial" w:cs="Arial"/>
          <w:i/>
          <w:sz w:val="24"/>
          <w:szCs w:val="24"/>
          <w:u w:val="single"/>
        </w:rPr>
        <w:footnoteReference w:id="81"/>
      </w:r>
      <w:r w:rsidR="00421D49" w:rsidRPr="00222736">
        <w:rPr>
          <w:rFonts w:ascii="Arial" w:hAnsi="Arial" w:cs="Arial"/>
          <w:sz w:val="24"/>
          <w:szCs w:val="24"/>
        </w:rPr>
        <w:t xml:space="preserve"> </w:t>
      </w:r>
      <w:r w:rsidR="00421D49" w:rsidRPr="00495F14">
        <w:rPr>
          <w:rFonts w:ascii="Arial" w:hAnsi="Arial" w:cs="Arial"/>
          <w:sz w:val="24"/>
          <w:szCs w:val="24"/>
        </w:rPr>
        <w:t>was issued</w:t>
      </w:r>
      <w:r w:rsidR="00240100">
        <w:rPr>
          <w:rFonts w:ascii="Arial" w:hAnsi="Arial" w:cs="Arial"/>
          <w:sz w:val="24"/>
          <w:szCs w:val="24"/>
        </w:rPr>
        <w:t xml:space="preserve"> in 2011</w:t>
      </w:r>
      <w:r w:rsidR="00421D49" w:rsidRPr="00495F14">
        <w:rPr>
          <w:rFonts w:ascii="Arial" w:hAnsi="Arial" w:cs="Arial"/>
          <w:sz w:val="24"/>
          <w:szCs w:val="24"/>
        </w:rPr>
        <w:t xml:space="preserve"> </w:t>
      </w:r>
      <w:r w:rsidR="000404F3">
        <w:rPr>
          <w:rFonts w:ascii="Arial" w:hAnsi="Arial" w:cs="Arial"/>
          <w:sz w:val="24"/>
          <w:szCs w:val="24"/>
        </w:rPr>
        <w:t>and ceased</w:t>
      </w:r>
      <w:r w:rsidR="00421D49" w:rsidRPr="00495F14">
        <w:rPr>
          <w:rFonts w:ascii="Arial" w:hAnsi="Arial" w:cs="Arial"/>
          <w:sz w:val="24"/>
          <w:szCs w:val="24"/>
        </w:rPr>
        <w:t xml:space="preserve"> to be in force when</w:t>
      </w:r>
      <w:r w:rsidR="000404F3">
        <w:rPr>
          <w:rFonts w:ascii="Arial" w:hAnsi="Arial" w:cs="Arial"/>
          <w:sz w:val="24"/>
          <w:szCs w:val="24"/>
        </w:rPr>
        <w:t xml:space="preserve"> the</w:t>
      </w:r>
      <w:r w:rsidR="00421D49" w:rsidRPr="00495F14">
        <w:rPr>
          <w:rFonts w:ascii="Arial" w:hAnsi="Arial" w:cs="Arial"/>
          <w:sz w:val="24"/>
          <w:szCs w:val="24"/>
        </w:rPr>
        <w:t xml:space="preserve"> </w:t>
      </w:r>
      <w:r w:rsidR="00421D49" w:rsidRPr="00F91605">
        <w:rPr>
          <w:rFonts w:ascii="Arial" w:hAnsi="Arial" w:cs="Arial"/>
          <w:i/>
          <w:sz w:val="24"/>
          <w:szCs w:val="24"/>
          <w:u w:val="single"/>
        </w:rPr>
        <w:t>Protection of Freedoms Act 2012</w:t>
      </w:r>
      <w:r w:rsidR="00E139A8">
        <w:rPr>
          <w:rStyle w:val="FootnoteReference"/>
          <w:rFonts w:ascii="Arial" w:hAnsi="Arial" w:cs="Arial"/>
          <w:i/>
          <w:sz w:val="24"/>
          <w:szCs w:val="24"/>
          <w:u w:val="single"/>
        </w:rPr>
        <w:footnoteReference w:id="82"/>
      </w:r>
      <w:r w:rsidR="00421D49" w:rsidRPr="00495F14">
        <w:rPr>
          <w:rFonts w:ascii="Arial" w:hAnsi="Arial" w:cs="Arial"/>
          <w:b/>
          <w:sz w:val="24"/>
          <w:szCs w:val="24"/>
        </w:rPr>
        <w:t xml:space="preserve"> </w:t>
      </w:r>
      <w:r w:rsidR="00421D49" w:rsidRPr="00495F14">
        <w:rPr>
          <w:rFonts w:ascii="Arial" w:hAnsi="Arial" w:cs="Arial"/>
          <w:sz w:val="24"/>
          <w:szCs w:val="24"/>
        </w:rPr>
        <w:t>received royal assent. As outlined by</w:t>
      </w:r>
      <w:r w:rsidR="00E5344C">
        <w:rPr>
          <w:rFonts w:ascii="Arial" w:hAnsi="Arial" w:cs="Arial"/>
          <w:sz w:val="24"/>
          <w:szCs w:val="24"/>
        </w:rPr>
        <w:t xml:space="preserve"> Brokenshire</w:t>
      </w:r>
      <w:r w:rsidR="000455AE">
        <w:rPr>
          <w:rStyle w:val="FootnoteReference"/>
          <w:rFonts w:ascii="Arial" w:hAnsi="Arial" w:cs="Arial"/>
          <w:sz w:val="24"/>
          <w:szCs w:val="24"/>
        </w:rPr>
        <w:footnoteReference w:id="83"/>
      </w:r>
      <w:r w:rsidR="00421D49" w:rsidRPr="00495F14">
        <w:rPr>
          <w:rFonts w:ascii="Arial" w:hAnsi="Arial" w:cs="Arial"/>
          <w:sz w:val="24"/>
          <w:szCs w:val="24"/>
        </w:rPr>
        <w:t xml:space="preserve">, the </w:t>
      </w:r>
      <w:r w:rsidR="00421D49" w:rsidRPr="00F91605">
        <w:rPr>
          <w:rFonts w:ascii="Arial" w:hAnsi="Arial" w:cs="Arial"/>
          <w:i/>
          <w:sz w:val="24"/>
          <w:szCs w:val="24"/>
          <w:u w:val="single"/>
        </w:rPr>
        <w:t>PoFA 2012</w:t>
      </w:r>
      <w:r w:rsidR="00E139A8">
        <w:rPr>
          <w:rStyle w:val="FootnoteReference"/>
          <w:rFonts w:ascii="Arial" w:hAnsi="Arial" w:cs="Arial"/>
          <w:i/>
          <w:sz w:val="24"/>
          <w:szCs w:val="24"/>
          <w:u w:val="single"/>
        </w:rPr>
        <w:footnoteReference w:id="84"/>
      </w:r>
      <w:r w:rsidR="00421D49" w:rsidRPr="00495F14">
        <w:rPr>
          <w:rFonts w:ascii="Arial" w:hAnsi="Arial" w:cs="Arial"/>
          <w:sz w:val="24"/>
          <w:szCs w:val="24"/>
        </w:rPr>
        <w:t xml:space="preserve"> “</w:t>
      </w:r>
      <w:r w:rsidR="00421D49" w:rsidRPr="000404F3">
        <w:rPr>
          <w:rFonts w:ascii="Arial" w:hAnsi="Arial" w:cs="Arial"/>
          <w:i/>
          <w:sz w:val="24"/>
          <w:szCs w:val="24"/>
        </w:rPr>
        <w:t xml:space="preserve">places the powers provided by the </w:t>
      </w:r>
      <w:r w:rsidR="00421D49" w:rsidRPr="00F91605">
        <w:rPr>
          <w:rFonts w:ascii="Arial" w:hAnsi="Arial" w:cs="Arial"/>
          <w:i/>
          <w:sz w:val="24"/>
          <w:szCs w:val="24"/>
          <w:u w:val="single"/>
        </w:rPr>
        <w:t>Terrorism Act 2000 Remedial Order 2011</w:t>
      </w:r>
      <w:r w:rsidR="00421D49" w:rsidRPr="000404F3">
        <w:rPr>
          <w:rFonts w:ascii="Arial" w:hAnsi="Arial" w:cs="Arial"/>
          <w:i/>
          <w:sz w:val="24"/>
          <w:szCs w:val="24"/>
        </w:rPr>
        <w:t xml:space="preserve"> on a permanent footing</w:t>
      </w:r>
      <w:r w:rsidR="00421D49" w:rsidRPr="00495F14">
        <w:rPr>
          <w:rFonts w:ascii="Arial" w:hAnsi="Arial" w:cs="Arial"/>
          <w:sz w:val="24"/>
          <w:szCs w:val="24"/>
        </w:rPr>
        <w:t>”</w:t>
      </w:r>
      <w:r w:rsidR="00E8211C">
        <w:rPr>
          <w:rStyle w:val="FootnoteReference"/>
          <w:rFonts w:ascii="Arial" w:hAnsi="Arial" w:cs="Arial"/>
          <w:sz w:val="24"/>
          <w:szCs w:val="24"/>
        </w:rPr>
        <w:footnoteReference w:id="85"/>
      </w:r>
      <w:r w:rsidR="00421D49" w:rsidRPr="00495F14">
        <w:rPr>
          <w:rFonts w:ascii="Arial" w:hAnsi="Arial" w:cs="Arial"/>
          <w:sz w:val="24"/>
          <w:szCs w:val="24"/>
        </w:rPr>
        <w:t xml:space="preserve">. The former </w:t>
      </w:r>
      <w:r w:rsidR="00CC383E">
        <w:rPr>
          <w:rFonts w:ascii="Arial" w:hAnsi="Arial" w:cs="Arial"/>
          <w:sz w:val="24"/>
          <w:szCs w:val="24"/>
        </w:rPr>
        <w:t xml:space="preserve">act </w:t>
      </w:r>
      <w:r w:rsidR="00421D49" w:rsidRPr="00495F14">
        <w:rPr>
          <w:rFonts w:ascii="Arial" w:hAnsi="Arial" w:cs="Arial"/>
          <w:sz w:val="24"/>
          <w:szCs w:val="24"/>
        </w:rPr>
        <w:t xml:space="preserve">repeals sections 44 to 47 of the </w:t>
      </w:r>
      <w:r w:rsidR="00421D49" w:rsidRPr="00F91605">
        <w:rPr>
          <w:rFonts w:ascii="Arial" w:hAnsi="Arial" w:cs="Arial"/>
          <w:i/>
          <w:sz w:val="24"/>
          <w:szCs w:val="24"/>
          <w:u w:val="single"/>
        </w:rPr>
        <w:t>Terrorism Act</w:t>
      </w:r>
      <w:r w:rsidR="00421D49" w:rsidRPr="00495F14">
        <w:rPr>
          <w:rStyle w:val="FootnoteReference"/>
          <w:rFonts w:ascii="Arial" w:hAnsi="Arial" w:cs="Arial"/>
          <w:sz w:val="24"/>
          <w:szCs w:val="24"/>
        </w:rPr>
        <w:footnoteReference w:id="86"/>
      </w:r>
      <w:r w:rsidR="00421D49" w:rsidRPr="00495F14">
        <w:rPr>
          <w:rFonts w:ascii="Arial" w:hAnsi="Arial" w:cs="Arial"/>
          <w:sz w:val="24"/>
          <w:szCs w:val="24"/>
        </w:rPr>
        <w:t xml:space="preserve"> and requires the criterion of reasonable suspicion to be applied even when dealing with potential terrorists. Moreover, some of the Code of Practices contained in </w:t>
      </w:r>
      <w:r w:rsidR="00421D49" w:rsidRPr="00F91605">
        <w:rPr>
          <w:rFonts w:ascii="Arial" w:hAnsi="Arial" w:cs="Arial"/>
          <w:i/>
          <w:sz w:val="24"/>
          <w:szCs w:val="24"/>
          <w:u w:val="single"/>
        </w:rPr>
        <w:t>PACE 1984</w:t>
      </w:r>
      <w:r w:rsidR="00421D49" w:rsidRPr="00495F14">
        <w:rPr>
          <w:rStyle w:val="FootnoteReference"/>
          <w:rFonts w:ascii="Arial" w:hAnsi="Arial" w:cs="Arial"/>
          <w:sz w:val="24"/>
          <w:szCs w:val="24"/>
        </w:rPr>
        <w:footnoteReference w:id="87"/>
      </w:r>
      <w:r w:rsidR="00421D49" w:rsidRPr="00495F14">
        <w:rPr>
          <w:rFonts w:ascii="Arial" w:hAnsi="Arial" w:cs="Arial"/>
          <w:sz w:val="24"/>
          <w:szCs w:val="24"/>
        </w:rPr>
        <w:t xml:space="preserve"> were subject to revision. Code H concerning detention and treatment of suspects, for example, </w:t>
      </w:r>
      <w:r w:rsidR="000404F3">
        <w:rPr>
          <w:rFonts w:ascii="Arial" w:hAnsi="Arial" w:cs="Arial"/>
          <w:sz w:val="24"/>
          <w:szCs w:val="24"/>
        </w:rPr>
        <w:t>was</w:t>
      </w:r>
      <w:r w:rsidR="00421D49" w:rsidRPr="00495F14">
        <w:rPr>
          <w:rFonts w:ascii="Arial" w:hAnsi="Arial" w:cs="Arial"/>
          <w:sz w:val="24"/>
          <w:szCs w:val="24"/>
        </w:rPr>
        <w:t xml:space="preserve"> radically altered</w:t>
      </w:r>
      <w:r w:rsidR="00421D49" w:rsidRPr="00495F14">
        <w:rPr>
          <w:rStyle w:val="FootnoteReference"/>
          <w:rFonts w:ascii="Arial" w:hAnsi="Arial" w:cs="Arial"/>
          <w:sz w:val="24"/>
          <w:szCs w:val="24"/>
        </w:rPr>
        <w:footnoteReference w:id="88"/>
      </w:r>
      <w:r w:rsidR="00421D49" w:rsidRPr="00495F14">
        <w:rPr>
          <w:rFonts w:ascii="Arial" w:hAnsi="Arial" w:cs="Arial"/>
          <w:sz w:val="24"/>
          <w:szCs w:val="24"/>
        </w:rPr>
        <w:t>.</w:t>
      </w:r>
      <w:r w:rsidR="00C92FEB">
        <w:rPr>
          <w:rFonts w:ascii="Arial" w:hAnsi="Arial" w:cs="Arial"/>
          <w:sz w:val="24"/>
          <w:szCs w:val="24"/>
        </w:rPr>
        <w:t xml:space="preserve"> </w:t>
      </w:r>
    </w:p>
    <w:p w14:paraId="3104193D" w14:textId="77777777" w:rsidR="004807C4" w:rsidRDefault="009E7619" w:rsidP="00C92FEB">
      <w:pPr>
        <w:spacing w:line="360" w:lineRule="auto"/>
        <w:ind w:left="1417"/>
        <w:jc w:val="both"/>
        <w:rPr>
          <w:rFonts w:ascii="Arial" w:hAnsi="Arial" w:cs="Arial"/>
          <w:sz w:val="24"/>
          <w:szCs w:val="24"/>
        </w:rPr>
      </w:pPr>
      <w:r>
        <w:rPr>
          <w:rFonts w:ascii="Arial" w:hAnsi="Arial" w:cs="Arial"/>
          <w:sz w:val="24"/>
          <w:szCs w:val="24"/>
        </w:rPr>
        <w:t xml:space="preserve">The </w:t>
      </w:r>
      <w:r w:rsidR="005D6553">
        <w:rPr>
          <w:rFonts w:ascii="Arial" w:hAnsi="Arial" w:cs="Arial"/>
          <w:sz w:val="24"/>
          <w:szCs w:val="24"/>
        </w:rPr>
        <w:t>European</w:t>
      </w:r>
      <w:r>
        <w:rPr>
          <w:rFonts w:ascii="Arial" w:hAnsi="Arial" w:cs="Arial"/>
          <w:sz w:val="24"/>
          <w:szCs w:val="24"/>
        </w:rPr>
        <w:t xml:space="preserve"> response to terrorism, though being efficient, </w:t>
      </w:r>
      <w:r w:rsidR="00852BB3">
        <w:rPr>
          <w:rFonts w:ascii="Arial" w:hAnsi="Arial" w:cs="Arial"/>
          <w:sz w:val="24"/>
          <w:szCs w:val="24"/>
        </w:rPr>
        <w:t>has been</w:t>
      </w:r>
      <w:r w:rsidR="00ED4B96" w:rsidRPr="00495F14">
        <w:rPr>
          <w:rFonts w:ascii="Arial" w:hAnsi="Arial" w:cs="Arial"/>
          <w:sz w:val="24"/>
          <w:szCs w:val="24"/>
        </w:rPr>
        <w:t xml:space="preserve"> quite weak</w:t>
      </w:r>
      <w:r w:rsidR="00764CF6" w:rsidRPr="00495F14">
        <w:rPr>
          <w:rFonts w:ascii="Arial" w:hAnsi="Arial" w:cs="Arial"/>
          <w:sz w:val="24"/>
          <w:szCs w:val="24"/>
        </w:rPr>
        <w:t xml:space="preserve"> </w:t>
      </w:r>
      <w:r w:rsidR="00ED4B96" w:rsidRPr="00495F14">
        <w:rPr>
          <w:rFonts w:ascii="Arial" w:hAnsi="Arial" w:cs="Arial"/>
          <w:sz w:val="24"/>
          <w:szCs w:val="24"/>
        </w:rPr>
        <w:t xml:space="preserve">for </w:t>
      </w:r>
      <w:r w:rsidR="00484517" w:rsidRPr="00495F14">
        <w:rPr>
          <w:rFonts w:ascii="Arial" w:hAnsi="Arial" w:cs="Arial"/>
          <w:sz w:val="24"/>
          <w:szCs w:val="24"/>
        </w:rPr>
        <w:t>two</w:t>
      </w:r>
      <w:r w:rsidR="006671E5">
        <w:rPr>
          <w:rFonts w:ascii="Arial" w:hAnsi="Arial" w:cs="Arial"/>
          <w:sz w:val="24"/>
          <w:szCs w:val="24"/>
        </w:rPr>
        <w:t xml:space="preserve"> reasons. First</w:t>
      </w:r>
      <w:r w:rsidR="00ED4B96" w:rsidRPr="00495F14">
        <w:rPr>
          <w:rFonts w:ascii="Arial" w:hAnsi="Arial" w:cs="Arial"/>
          <w:sz w:val="24"/>
          <w:szCs w:val="24"/>
        </w:rPr>
        <w:t>, the threat has not been as serious as in the US</w:t>
      </w:r>
      <w:r w:rsidR="007F6170">
        <w:rPr>
          <w:rStyle w:val="FootnoteReference"/>
          <w:rFonts w:ascii="Arial" w:hAnsi="Arial" w:cs="Arial"/>
          <w:sz w:val="24"/>
          <w:szCs w:val="24"/>
        </w:rPr>
        <w:footnoteReference w:id="89"/>
      </w:r>
      <w:r w:rsidR="00ED4B96" w:rsidRPr="00495F14">
        <w:rPr>
          <w:rFonts w:ascii="Arial" w:hAnsi="Arial" w:cs="Arial"/>
          <w:sz w:val="24"/>
          <w:szCs w:val="24"/>
        </w:rPr>
        <w:t xml:space="preserve">. Secondly, neither academics nor </w:t>
      </w:r>
      <w:r w:rsidR="00EA1095">
        <w:rPr>
          <w:rFonts w:ascii="Arial" w:hAnsi="Arial" w:cs="Arial"/>
          <w:sz w:val="24"/>
          <w:szCs w:val="24"/>
        </w:rPr>
        <w:t>single countries</w:t>
      </w:r>
      <w:r w:rsidR="00ED4B96" w:rsidRPr="00495F14">
        <w:rPr>
          <w:rFonts w:ascii="Arial" w:hAnsi="Arial" w:cs="Arial"/>
          <w:sz w:val="24"/>
          <w:szCs w:val="24"/>
        </w:rPr>
        <w:t xml:space="preserve"> have requested the creation of </w:t>
      </w:r>
      <w:r w:rsidR="00EA1095">
        <w:rPr>
          <w:rFonts w:ascii="Arial" w:hAnsi="Arial" w:cs="Arial"/>
          <w:sz w:val="24"/>
          <w:szCs w:val="24"/>
        </w:rPr>
        <w:t>a European I</w:t>
      </w:r>
      <w:r w:rsidR="00ED4B96" w:rsidRPr="00495F14">
        <w:rPr>
          <w:rFonts w:ascii="Arial" w:hAnsi="Arial" w:cs="Arial"/>
          <w:sz w:val="24"/>
          <w:szCs w:val="24"/>
        </w:rPr>
        <w:t>ntelligence</w:t>
      </w:r>
      <w:r w:rsidR="00EA1095">
        <w:rPr>
          <w:rFonts w:ascii="Arial" w:hAnsi="Arial" w:cs="Arial"/>
          <w:sz w:val="24"/>
          <w:szCs w:val="24"/>
        </w:rPr>
        <w:t xml:space="preserve"> Agency</w:t>
      </w:r>
      <w:r w:rsidR="002F6537">
        <w:rPr>
          <w:rFonts w:ascii="Arial" w:hAnsi="Arial" w:cs="Arial"/>
          <w:sz w:val="24"/>
          <w:szCs w:val="24"/>
        </w:rPr>
        <w:t xml:space="preserve"> as the exchange of data across countries which at present Europol favours seems sufficient and </w:t>
      </w:r>
      <w:r w:rsidR="0064076F">
        <w:rPr>
          <w:rFonts w:ascii="Arial" w:hAnsi="Arial" w:cs="Arial"/>
          <w:sz w:val="24"/>
          <w:szCs w:val="24"/>
        </w:rPr>
        <w:t>efficient</w:t>
      </w:r>
      <w:r w:rsidR="00621FDD">
        <w:rPr>
          <w:rStyle w:val="FootnoteReference"/>
          <w:rFonts w:ascii="Arial" w:hAnsi="Arial" w:cs="Arial"/>
          <w:sz w:val="24"/>
          <w:szCs w:val="24"/>
        </w:rPr>
        <w:footnoteReference w:id="90"/>
      </w:r>
      <w:r w:rsidR="00764CF6" w:rsidRPr="00495F14">
        <w:rPr>
          <w:rFonts w:ascii="Arial" w:hAnsi="Arial" w:cs="Arial"/>
          <w:sz w:val="24"/>
          <w:szCs w:val="24"/>
        </w:rPr>
        <w:t xml:space="preserve">. </w:t>
      </w:r>
      <w:r w:rsidR="009F36B6" w:rsidRPr="00495F14">
        <w:rPr>
          <w:rFonts w:ascii="Arial" w:hAnsi="Arial" w:cs="Arial"/>
          <w:sz w:val="24"/>
          <w:szCs w:val="24"/>
        </w:rPr>
        <w:t>Yet, what could possibly be improved is the adop</w:t>
      </w:r>
      <w:r w:rsidR="00EC058F" w:rsidRPr="00495F14">
        <w:rPr>
          <w:rFonts w:ascii="Arial" w:hAnsi="Arial" w:cs="Arial"/>
          <w:sz w:val="24"/>
          <w:szCs w:val="24"/>
        </w:rPr>
        <w:t xml:space="preserve">tion of more sophisticated </w:t>
      </w:r>
      <w:r w:rsidR="0068491F" w:rsidRPr="00495F14">
        <w:rPr>
          <w:rFonts w:ascii="Arial" w:hAnsi="Arial" w:cs="Arial"/>
          <w:sz w:val="24"/>
          <w:szCs w:val="24"/>
        </w:rPr>
        <w:t>devices</w:t>
      </w:r>
      <w:r w:rsidR="00777E54">
        <w:rPr>
          <w:rStyle w:val="FootnoteReference"/>
          <w:rFonts w:ascii="Arial" w:hAnsi="Arial" w:cs="Arial"/>
          <w:sz w:val="24"/>
          <w:szCs w:val="24"/>
        </w:rPr>
        <w:footnoteReference w:id="91"/>
      </w:r>
      <w:r w:rsidR="0068491F" w:rsidRPr="00495F14">
        <w:rPr>
          <w:rFonts w:ascii="Arial" w:hAnsi="Arial" w:cs="Arial"/>
          <w:sz w:val="24"/>
          <w:szCs w:val="24"/>
        </w:rPr>
        <w:t>. This also applies to police forces in the UK</w:t>
      </w:r>
      <w:r w:rsidR="00FC5719">
        <w:rPr>
          <w:rStyle w:val="FootnoteReference"/>
          <w:rFonts w:ascii="Arial" w:hAnsi="Arial" w:cs="Arial"/>
          <w:sz w:val="24"/>
          <w:szCs w:val="24"/>
        </w:rPr>
        <w:footnoteReference w:id="92"/>
      </w:r>
      <w:r w:rsidR="0068491F" w:rsidRPr="00495F14">
        <w:rPr>
          <w:rFonts w:ascii="Arial" w:hAnsi="Arial" w:cs="Arial"/>
          <w:sz w:val="24"/>
          <w:szCs w:val="24"/>
        </w:rPr>
        <w:t xml:space="preserve">. Additionally, at domestic level, a larger number of officers could be deployed on the streets rather than having them </w:t>
      </w:r>
      <w:r w:rsidR="00296F47" w:rsidRPr="00495F14">
        <w:rPr>
          <w:rFonts w:ascii="Arial" w:hAnsi="Arial" w:cs="Arial"/>
          <w:sz w:val="24"/>
          <w:szCs w:val="24"/>
        </w:rPr>
        <w:t>sitting at a desk</w:t>
      </w:r>
      <w:r w:rsidR="00FC5719">
        <w:rPr>
          <w:rStyle w:val="FootnoteReference"/>
          <w:rFonts w:ascii="Arial" w:hAnsi="Arial" w:cs="Arial"/>
          <w:sz w:val="24"/>
          <w:szCs w:val="24"/>
        </w:rPr>
        <w:footnoteReference w:id="93"/>
      </w:r>
      <w:r w:rsidR="00296F47" w:rsidRPr="00495F14">
        <w:rPr>
          <w:rFonts w:ascii="Arial" w:hAnsi="Arial" w:cs="Arial"/>
          <w:sz w:val="24"/>
          <w:szCs w:val="24"/>
        </w:rPr>
        <w:t xml:space="preserve">. Furthermore, citizens suggest that the government should publicise the results stops and searches have </w:t>
      </w:r>
      <w:r w:rsidR="00296F47" w:rsidRPr="00495F14">
        <w:rPr>
          <w:rFonts w:ascii="Arial" w:hAnsi="Arial" w:cs="Arial"/>
          <w:sz w:val="24"/>
          <w:szCs w:val="24"/>
        </w:rPr>
        <w:lastRenderedPageBreak/>
        <w:t>achieved</w:t>
      </w:r>
      <w:r w:rsidR="000A334D" w:rsidRPr="00495F14">
        <w:rPr>
          <w:rStyle w:val="FootnoteReference"/>
          <w:rFonts w:ascii="Arial" w:hAnsi="Arial" w:cs="Arial"/>
          <w:sz w:val="24"/>
          <w:szCs w:val="24"/>
        </w:rPr>
        <w:footnoteReference w:id="94"/>
      </w:r>
      <w:r w:rsidR="00296F47" w:rsidRPr="00495F14">
        <w:rPr>
          <w:rFonts w:ascii="Arial" w:hAnsi="Arial" w:cs="Arial"/>
          <w:sz w:val="24"/>
          <w:szCs w:val="24"/>
        </w:rPr>
        <w:t xml:space="preserve">. </w:t>
      </w:r>
      <w:r w:rsidR="000A334D" w:rsidRPr="00495F14">
        <w:rPr>
          <w:rFonts w:ascii="Arial" w:hAnsi="Arial" w:cs="Arial"/>
          <w:sz w:val="24"/>
          <w:szCs w:val="24"/>
        </w:rPr>
        <w:t xml:space="preserve">Other surveys emphasise the importance of profilers, claiming that they can provide accurate predictions and support the </w:t>
      </w:r>
      <w:r w:rsidR="006D2E0B" w:rsidRPr="00495F14">
        <w:rPr>
          <w:rFonts w:ascii="Arial" w:hAnsi="Arial" w:cs="Arial"/>
          <w:sz w:val="24"/>
          <w:szCs w:val="24"/>
        </w:rPr>
        <w:t xml:space="preserve">fight </w:t>
      </w:r>
      <w:r w:rsidR="000A334D" w:rsidRPr="00495F14">
        <w:rPr>
          <w:rFonts w:ascii="Arial" w:hAnsi="Arial" w:cs="Arial"/>
          <w:sz w:val="24"/>
          <w:szCs w:val="24"/>
        </w:rPr>
        <w:t>against terrorism</w:t>
      </w:r>
      <w:r w:rsidR="00D57E92" w:rsidRPr="00495F14">
        <w:rPr>
          <w:rStyle w:val="FootnoteReference"/>
          <w:rFonts w:ascii="Arial" w:hAnsi="Arial" w:cs="Arial"/>
          <w:sz w:val="24"/>
          <w:szCs w:val="24"/>
        </w:rPr>
        <w:footnoteReference w:id="95"/>
      </w:r>
      <w:r w:rsidR="000A334D" w:rsidRPr="00495F14">
        <w:rPr>
          <w:rFonts w:ascii="Arial" w:hAnsi="Arial" w:cs="Arial"/>
          <w:sz w:val="24"/>
          <w:szCs w:val="24"/>
        </w:rPr>
        <w:t xml:space="preserve">. </w:t>
      </w:r>
      <w:r w:rsidR="00265E57">
        <w:rPr>
          <w:rFonts w:ascii="Arial" w:hAnsi="Arial" w:cs="Arial"/>
          <w:sz w:val="24"/>
          <w:szCs w:val="24"/>
        </w:rPr>
        <w:t>N</w:t>
      </w:r>
      <w:r w:rsidR="00DC10F4" w:rsidRPr="00495F14">
        <w:rPr>
          <w:rFonts w:ascii="Arial" w:hAnsi="Arial" w:cs="Arial"/>
          <w:sz w:val="24"/>
          <w:szCs w:val="24"/>
        </w:rPr>
        <w:t xml:space="preserve">ot only </w:t>
      </w:r>
      <w:r w:rsidR="00265E57">
        <w:rPr>
          <w:rFonts w:ascii="Arial" w:hAnsi="Arial" w:cs="Arial"/>
          <w:sz w:val="24"/>
          <w:szCs w:val="24"/>
        </w:rPr>
        <w:t xml:space="preserve">should officers focus </w:t>
      </w:r>
      <w:r w:rsidR="00DC10F4" w:rsidRPr="00495F14">
        <w:rPr>
          <w:rFonts w:ascii="Arial" w:hAnsi="Arial" w:cs="Arial"/>
          <w:sz w:val="24"/>
          <w:szCs w:val="24"/>
        </w:rPr>
        <w:t>on looks but also on behavioural and psychological factors. For example, intelligence-led operations have been extremely successful in the US</w:t>
      </w:r>
      <w:r w:rsidR="00D57E92" w:rsidRPr="00495F14">
        <w:rPr>
          <w:rStyle w:val="FootnoteReference"/>
          <w:rFonts w:ascii="Arial" w:hAnsi="Arial" w:cs="Arial"/>
          <w:sz w:val="24"/>
          <w:szCs w:val="24"/>
        </w:rPr>
        <w:footnoteReference w:id="96"/>
      </w:r>
      <w:r w:rsidR="00DC10F4" w:rsidRPr="00495F14">
        <w:rPr>
          <w:rFonts w:ascii="Arial" w:hAnsi="Arial" w:cs="Arial"/>
          <w:sz w:val="24"/>
          <w:szCs w:val="24"/>
        </w:rPr>
        <w:t xml:space="preserve">. </w:t>
      </w:r>
      <w:r w:rsidR="006D2E0B" w:rsidRPr="00495F14">
        <w:rPr>
          <w:rFonts w:ascii="Arial" w:hAnsi="Arial" w:cs="Arial"/>
          <w:sz w:val="24"/>
          <w:szCs w:val="24"/>
        </w:rPr>
        <w:t xml:space="preserve">This seems to be </w:t>
      </w:r>
      <w:r w:rsidR="00DC10F4" w:rsidRPr="00495F14">
        <w:rPr>
          <w:rFonts w:ascii="Arial" w:hAnsi="Arial" w:cs="Arial"/>
          <w:sz w:val="24"/>
          <w:szCs w:val="24"/>
        </w:rPr>
        <w:t>relevant considering</w:t>
      </w:r>
      <w:r w:rsidR="006D2E0B" w:rsidRPr="00495F14">
        <w:rPr>
          <w:rFonts w:ascii="Arial" w:hAnsi="Arial" w:cs="Arial"/>
          <w:sz w:val="24"/>
          <w:szCs w:val="24"/>
        </w:rPr>
        <w:t xml:space="preserve"> that </w:t>
      </w:r>
      <w:r w:rsidR="00DC10F4" w:rsidRPr="00495F14">
        <w:rPr>
          <w:rFonts w:ascii="Arial" w:hAnsi="Arial" w:cs="Arial"/>
          <w:sz w:val="24"/>
          <w:szCs w:val="24"/>
        </w:rPr>
        <w:t>evidence show</w:t>
      </w:r>
      <w:r w:rsidR="00BA6AF4">
        <w:rPr>
          <w:rFonts w:ascii="Arial" w:hAnsi="Arial" w:cs="Arial"/>
          <w:sz w:val="24"/>
          <w:szCs w:val="24"/>
        </w:rPr>
        <w:t>s</w:t>
      </w:r>
      <w:r w:rsidR="00DC10F4" w:rsidRPr="00495F14">
        <w:rPr>
          <w:rFonts w:ascii="Arial" w:hAnsi="Arial" w:cs="Arial"/>
          <w:sz w:val="24"/>
          <w:szCs w:val="24"/>
        </w:rPr>
        <w:t xml:space="preserve"> </w:t>
      </w:r>
      <w:r w:rsidR="007A2256">
        <w:rPr>
          <w:rFonts w:ascii="Arial" w:hAnsi="Arial" w:cs="Arial"/>
          <w:sz w:val="24"/>
          <w:szCs w:val="24"/>
        </w:rPr>
        <w:t>that</w:t>
      </w:r>
      <w:r w:rsidR="00DC10F4" w:rsidRPr="00495F14">
        <w:rPr>
          <w:rFonts w:ascii="Arial" w:hAnsi="Arial" w:cs="Arial"/>
          <w:sz w:val="24"/>
          <w:szCs w:val="24"/>
        </w:rPr>
        <w:t xml:space="preserve"> </w:t>
      </w:r>
      <w:r w:rsidR="006D2E0B" w:rsidRPr="00495F14">
        <w:rPr>
          <w:rFonts w:ascii="Arial" w:hAnsi="Arial" w:cs="Arial"/>
          <w:sz w:val="24"/>
          <w:szCs w:val="24"/>
        </w:rPr>
        <w:t>terrorist</w:t>
      </w:r>
      <w:r w:rsidR="00FF0558">
        <w:rPr>
          <w:rFonts w:ascii="Arial" w:hAnsi="Arial" w:cs="Arial"/>
          <w:sz w:val="24"/>
          <w:szCs w:val="24"/>
        </w:rPr>
        <w:t>s</w:t>
      </w:r>
      <w:r w:rsidR="006D2E0B" w:rsidRPr="00495F14">
        <w:rPr>
          <w:rFonts w:ascii="Arial" w:hAnsi="Arial" w:cs="Arial"/>
          <w:sz w:val="24"/>
          <w:szCs w:val="24"/>
        </w:rPr>
        <w:t xml:space="preserve"> </w:t>
      </w:r>
      <w:r w:rsidR="007A2256">
        <w:rPr>
          <w:rFonts w:ascii="Arial" w:hAnsi="Arial" w:cs="Arial"/>
          <w:sz w:val="24"/>
          <w:szCs w:val="24"/>
        </w:rPr>
        <w:t xml:space="preserve">do </w:t>
      </w:r>
      <w:r w:rsidR="006D2E0B" w:rsidRPr="00495F14">
        <w:rPr>
          <w:rFonts w:ascii="Arial" w:hAnsi="Arial" w:cs="Arial"/>
          <w:sz w:val="24"/>
          <w:szCs w:val="24"/>
        </w:rPr>
        <w:t>adapt to situations</w:t>
      </w:r>
      <w:r w:rsidR="00AB0BFE">
        <w:rPr>
          <w:rFonts w:ascii="Arial" w:hAnsi="Arial" w:cs="Arial"/>
          <w:sz w:val="24"/>
          <w:szCs w:val="24"/>
        </w:rPr>
        <w:t xml:space="preserve"> improving their skills</w:t>
      </w:r>
      <w:r w:rsidR="006D2E0B" w:rsidRPr="00495F14">
        <w:rPr>
          <w:rFonts w:ascii="Arial" w:hAnsi="Arial" w:cs="Arial"/>
          <w:sz w:val="24"/>
          <w:szCs w:val="24"/>
        </w:rPr>
        <w:t>. Fo</w:t>
      </w:r>
      <w:r w:rsidR="00DC10F4" w:rsidRPr="00495F14">
        <w:rPr>
          <w:rFonts w:ascii="Arial" w:hAnsi="Arial" w:cs="Arial"/>
          <w:sz w:val="24"/>
          <w:szCs w:val="24"/>
        </w:rPr>
        <w:t xml:space="preserve">r instance, they now increasingly </w:t>
      </w:r>
      <w:r w:rsidR="00D57E92" w:rsidRPr="00495F14">
        <w:rPr>
          <w:rFonts w:ascii="Arial" w:hAnsi="Arial" w:cs="Arial"/>
          <w:sz w:val="24"/>
          <w:szCs w:val="24"/>
        </w:rPr>
        <w:t xml:space="preserve">rely on </w:t>
      </w:r>
      <w:r w:rsidR="009239B1">
        <w:rPr>
          <w:rFonts w:ascii="Arial" w:hAnsi="Arial" w:cs="Arial"/>
          <w:sz w:val="24"/>
          <w:szCs w:val="24"/>
        </w:rPr>
        <w:t>children</w:t>
      </w:r>
      <w:r w:rsidR="00D57E92" w:rsidRPr="00495F14">
        <w:rPr>
          <w:rFonts w:ascii="Arial" w:hAnsi="Arial" w:cs="Arial"/>
          <w:sz w:val="24"/>
          <w:szCs w:val="24"/>
        </w:rPr>
        <w:t xml:space="preserve"> and women as well as</w:t>
      </w:r>
      <w:r w:rsidR="00DC10F4" w:rsidRPr="00495F14">
        <w:rPr>
          <w:rFonts w:ascii="Arial" w:hAnsi="Arial" w:cs="Arial"/>
          <w:sz w:val="24"/>
          <w:szCs w:val="24"/>
        </w:rPr>
        <w:t xml:space="preserve"> converts</w:t>
      </w:r>
      <w:r w:rsidR="00FB44FB" w:rsidRPr="00495F14">
        <w:rPr>
          <w:rStyle w:val="FootnoteReference"/>
          <w:rFonts w:ascii="Arial" w:hAnsi="Arial" w:cs="Arial"/>
          <w:sz w:val="24"/>
          <w:szCs w:val="24"/>
        </w:rPr>
        <w:footnoteReference w:id="97"/>
      </w:r>
      <w:r w:rsidR="00DC10F4" w:rsidRPr="00495F14">
        <w:rPr>
          <w:rFonts w:ascii="Arial" w:hAnsi="Arial" w:cs="Arial"/>
          <w:sz w:val="24"/>
          <w:szCs w:val="24"/>
        </w:rPr>
        <w:t xml:space="preserve"> in order to avoid stops and searches</w:t>
      </w:r>
      <w:r w:rsidR="00B90CB1">
        <w:rPr>
          <w:rFonts w:ascii="Arial" w:hAnsi="Arial" w:cs="Arial"/>
          <w:sz w:val="24"/>
          <w:szCs w:val="24"/>
        </w:rPr>
        <w:t>. Even though</w:t>
      </w:r>
      <w:r w:rsidR="009640AB" w:rsidRPr="00495F14">
        <w:rPr>
          <w:rFonts w:ascii="Arial" w:hAnsi="Arial" w:cs="Arial"/>
          <w:sz w:val="24"/>
          <w:szCs w:val="24"/>
        </w:rPr>
        <w:t xml:space="preserve"> stopping people belonging to minorities seems ineffective and d</w:t>
      </w:r>
      <w:r w:rsidR="00B90CB1">
        <w:rPr>
          <w:rFonts w:ascii="Arial" w:hAnsi="Arial" w:cs="Arial"/>
          <w:sz w:val="24"/>
          <w:szCs w:val="24"/>
        </w:rPr>
        <w:t xml:space="preserve">iscriminatory, </w:t>
      </w:r>
      <w:r w:rsidR="009640AB" w:rsidRPr="00495F14">
        <w:rPr>
          <w:rFonts w:ascii="Arial" w:hAnsi="Arial" w:cs="Arial"/>
          <w:sz w:val="24"/>
          <w:szCs w:val="24"/>
        </w:rPr>
        <w:t xml:space="preserve">random searches might </w:t>
      </w:r>
      <w:r w:rsidR="00B90CB1">
        <w:rPr>
          <w:rFonts w:ascii="Arial" w:hAnsi="Arial" w:cs="Arial"/>
          <w:sz w:val="24"/>
          <w:szCs w:val="24"/>
        </w:rPr>
        <w:t xml:space="preserve">prove to </w:t>
      </w:r>
      <w:r w:rsidR="009640AB" w:rsidRPr="00495F14">
        <w:rPr>
          <w:rFonts w:ascii="Arial" w:hAnsi="Arial" w:cs="Arial"/>
          <w:sz w:val="24"/>
          <w:szCs w:val="24"/>
        </w:rPr>
        <w:t>be useful for deterring new terrorist</w:t>
      </w:r>
      <w:r w:rsidR="00FB44FB" w:rsidRPr="00495F14">
        <w:rPr>
          <w:rStyle w:val="FootnoteReference"/>
          <w:rFonts w:ascii="Arial" w:hAnsi="Arial" w:cs="Arial"/>
          <w:sz w:val="24"/>
          <w:szCs w:val="24"/>
        </w:rPr>
        <w:footnoteReference w:id="98"/>
      </w:r>
      <w:r w:rsidR="004807C4">
        <w:rPr>
          <w:rFonts w:ascii="Arial" w:hAnsi="Arial" w:cs="Arial"/>
          <w:sz w:val="24"/>
          <w:szCs w:val="24"/>
        </w:rPr>
        <w:t xml:space="preserve">. </w:t>
      </w:r>
    </w:p>
    <w:p w14:paraId="054905F7" w14:textId="77777777" w:rsidR="004807C4" w:rsidRDefault="004807C4" w:rsidP="00F91605">
      <w:pPr>
        <w:spacing w:line="360" w:lineRule="auto"/>
        <w:ind w:left="1417"/>
        <w:jc w:val="both"/>
        <w:rPr>
          <w:rFonts w:ascii="Arial" w:hAnsi="Arial" w:cs="Arial"/>
          <w:sz w:val="24"/>
          <w:szCs w:val="24"/>
        </w:rPr>
      </w:pPr>
    </w:p>
    <w:p w14:paraId="5D768F2C" w14:textId="77777777" w:rsidR="005F00D3" w:rsidRDefault="007A3348" w:rsidP="00561E97">
      <w:pPr>
        <w:spacing w:line="360" w:lineRule="auto"/>
        <w:ind w:left="1417"/>
        <w:jc w:val="both"/>
        <w:rPr>
          <w:rFonts w:ascii="Arial" w:hAnsi="Arial" w:cs="Arial"/>
          <w:sz w:val="24"/>
          <w:szCs w:val="24"/>
        </w:rPr>
      </w:pPr>
      <w:r>
        <w:rPr>
          <w:rFonts w:ascii="Arial" w:hAnsi="Arial" w:cs="Arial"/>
          <w:sz w:val="24"/>
          <w:szCs w:val="24"/>
        </w:rPr>
        <w:t>It</w:t>
      </w:r>
      <w:r w:rsidR="00F703CD">
        <w:rPr>
          <w:rFonts w:ascii="Arial" w:hAnsi="Arial" w:cs="Arial"/>
          <w:sz w:val="24"/>
          <w:szCs w:val="24"/>
        </w:rPr>
        <w:t xml:space="preserve"> seems clear that</w:t>
      </w:r>
      <w:r w:rsidR="00CE34D5">
        <w:rPr>
          <w:rFonts w:ascii="Arial" w:hAnsi="Arial" w:cs="Arial"/>
          <w:sz w:val="24"/>
          <w:szCs w:val="24"/>
        </w:rPr>
        <w:t xml:space="preserve"> </w:t>
      </w:r>
      <w:r w:rsidR="00571F8A">
        <w:rPr>
          <w:rFonts w:ascii="Arial" w:hAnsi="Arial" w:cs="Arial"/>
          <w:sz w:val="24"/>
          <w:szCs w:val="24"/>
        </w:rPr>
        <w:t>t</w:t>
      </w:r>
      <w:r w:rsidR="00CE34D5">
        <w:rPr>
          <w:rFonts w:ascii="Arial" w:hAnsi="Arial" w:cs="Arial"/>
          <w:sz w:val="24"/>
          <w:szCs w:val="24"/>
        </w:rPr>
        <w:t>he government’s attempt to fight criminality and</w:t>
      </w:r>
      <w:r w:rsidR="00571F8A">
        <w:rPr>
          <w:rFonts w:ascii="Arial" w:hAnsi="Arial" w:cs="Arial"/>
          <w:sz w:val="24"/>
          <w:szCs w:val="24"/>
        </w:rPr>
        <w:t>, in particular, terrorism</w:t>
      </w:r>
      <w:r w:rsidR="0033139C">
        <w:rPr>
          <w:rFonts w:ascii="Arial" w:hAnsi="Arial" w:cs="Arial"/>
          <w:sz w:val="24"/>
          <w:szCs w:val="24"/>
        </w:rPr>
        <w:t xml:space="preserve"> </w:t>
      </w:r>
      <w:r w:rsidR="00571F8A">
        <w:rPr>
          <w:rFonts w:ascii="Arial" w:hAnsi="Arial" w:cs="Arial"/>
          <w:sz w:val="24"/>
          <w:szCs w:val="24"/>
        </w:rPr>
        <w:t>has raised controversy</w:t>
      </w:r>
      <w:r w:rsidR="00DB55BC">
        <w:rPr>
          <w:rStyle w:val="FootnoteReference"/>
          <w:rFonts w:ascii="Arial" w:hAnsi="Arial" w:cs="Arial"/>
          <w:sz w:val="24"/>
          <w:szCs w:val="24"/>
        </w:rPr>
        <w:footnoteReference w:id="99"/>
      </w:r>
      <w:r w:rsidR="00571F8A">
        <w:rPr>
          <w:rFonts w:ascii="Arial" w:hAnsi="Arial" w:cs="Arial"/>
          <w:sz w:val="24"/>
          <w:szCs w:val="24"/>
        </w:rPr>
        <w:t xml:space="preserve">. </w:t>
      </w:r>
      <w:r w:rsidR="001159DE">
        <w:rPr>
          <w:rFonts w:ascii="Arial" w:hAnsi="Arial" w:cs="Arial"/>
          <w:sz w:val="24"/>
          <w:szCs w:val="24"/>
        </w:rPr>
        <w:t xml:space="preserve">In fact, some </w:t>
      </w:r>
      <w:r w:rsidR="00571F8A">
        <w:rPr>
          <w:rFonts w:ascii="Arial" w:hAnsi="Arial" w:cs="Arial"/>
          <w:sz w:val="24"/>
          <w:szCs w:val="24"/>
        </w:rPr>
        <w:t>have deemed</w:t>
      </w:r>
      <w:r w:rsidR="001159DE">
        <w:rPr>
          <w:rFonts w:ascii="Arial" w:hAnsi="Arial" w:cs="Arial"/>
          <w:sz w:val="24"/>
          <w:szCs w:val="24"/>
        </w:rPr>
        <w:t xml:space="preserve"> </w:t>
      </w:r>
      <w:r w:rsidR="00D752A5">
        <w:rPr>
          <w:rFonts w:ascii="Arial" w:hAnsi="Arial" w:cs="Arial"/>
          <w:sz w:val="24"/>
          <w:szCs w:val="24"/>
        </w:rPr>
        <w:t xml:space="preserve">stop and search powers </w:t>
      </w:r>
      <w:r w:rsidR="001159DE">
        <w:rPr>
          <w:rFonts w:ascii="Arial" w:hAnsi="Arial" w:cs="Arial"/>
          <w:sz w:val="24"/>
          <w:szCs w:val="24"/>
        </w:rPr>
        <w:t xml:space="preserve">necessary and effective, others discriminatory and excessive. </w:t>
      </w:r>
      <w:r w:rsidR="004F7114">
        <w:rPr>
          <w:rFonts w:ascii="Arial" w:hAnsi="Arial" w:cs="Arial"/>
          <w:sz w:val="24"/>
          <w:szCs w:val="24"/>
        </w:rPr>
        <w:t>This contraposition is</w:t>
      </w:r>
      <w:r w:rsidR="00571F8A">
        <w:rPr>
          <w:rFonts w:ascii="Arial" w:hAnsi="Arial" w:cs="Arial"/>
          <w:sz w:val="24"/>
          <w:szCs w:val="24"/>
        </w:rPr>
        <w:t xml:space="preserve"> also</w:t>
      </w:r>
      <w:r w:rsidR="004F7114">
        <w:rPr>
          <w:rFonts w:ascii="Arial" w:hAnsi="Arial" w:cs="Arial"/>
          <w:sz w:val="24"/>
          <w:szCs w:val="24"/>
        </w:rPr>
        <w:t xml:space="preserve"> reflected in the different approaches that domestic courts and the ECtHR have taken, G</w:t>
      </w:r>
      <w:r w:rsidR="00571F8A">
        <w:rPr>
          <w:rFonts w:ascii="Arial" w:hAnsi="Arial" w:cs="Arial"/>
          <w:sz w:val="24"/>
          <w:szCs w:val="24"/>
        </w:rPr>
        <w:t>illan being a striking example</w:t>
      </w:r>
      <w:r w:rsidR="00055E6B">
        <w:rPr>
          <w:rFonts w:ascii="Arial" w:hAnsi="Arial" w:cs="Arial"/>
          <w:sz w:val="24"/>
          <w:szCs w:val="24"/>
        </w:rPr>
        <w:t xml:space="preserve">. </w:t>
      </w:r>
      <w:r w:rsidR="00FD5C5F">
        <w:rPr>
          <w:rFonts w:ascii="Arial" w:hAnsi="Arial" w:cs="Arial"/>
          <w:sz w:val="24"/>
          <w:szCs w:val="24"/>
        </w:rPr>
        <w:t>With regards to</w:t>
      </w:r>
      <w:r w:rsidR="00055E6B">
        <w:rPr>
          <w:rFonts w:ascii="Arial" w:hAnsi="Arial" w:cs="Arial"/>
          <w:sz w:val="24"/>
          <w:szCs w:val="24"/>
        </w:rPr>
        <w:t xml:space="preserve"> the balance </w:t>
      </w:r>
      <w:r w:rsidR="00CE4391">
        <w:rPr>
          <w:rFonts w:ascii="Arial" w:hAnsi="Arial" w:cs="Arial"/>
          <w:sz w:val="24"/>
          <w:szCs w:val="24"/>
        </w:rPr>
        <w:t xml:space="preserve">that </w:t>
      </w:r>
      <w:r w:rsidR="00055E6B">
        <w:rPr>
          <w:rFonts w:ascii="Arial" w:hAnsi="Arial" w:cs="Arial"/>
          <w:sz w:val="24"/>
          <w:szCs w:val="24"/>
        </w:rPr>
        <w:t xml:space="preserve">these provisions were intended to draw between </w:t>
      </w:r>
      <w:r w:rsidR="00FD5C5F">
        <w:rPr>
          <w:rFonts w:ascii="Arial" w:hAnsi="Arial" w:cs="Arial"/>
          <w:sz w:val="24"/>
          <w:szCs w:val="24"/>
        </w:rPr>
        <w:t xml:space="preserve">public safety and human rights, evidence shows that </w:t>
      </w:r>
      <w:r w:rsidR="00CE4391">
        <w:rPr>
          <w:rFonts w:ascii="Arial" w:hAnsi="Arial" w:cs="Arial"/>
          <w:sz w:val="24"/>
          <w:szCs w:val="24"/>
        </w:rPr>
        <w:t xml:space="preserve">this </w:t>
      </w:r>
      <w:r w:rsidR="002E3944">
        <w:rPr>
          <w:rFonts w:ascii="Arial" w:hAnsi="Arial" w:cs="Arial"/>
          <w:sz w:val="24"/>
          <w:szCs w:val="24"/>
        </w:rPr>
        <w:t>was</w:t>
      </w:r>
      <w:r w:rsidR="005933E3">
        <w:rPr>
          <w:rFonts w:ascii="Arial" w:hAnsi="Arial" w:cs="Arial"/>
          <w:sz w:val="24"/>
          <w:szCs w:val="24"/>
        </w:rPr>
        <w:t xml:space="preserve"> </w:t>
      </w:r>
      <w:r w:rsidR="002E3944">
        <w:rPr>
          <w:rFonts w:ascii="Arial" w:hAnsi="Arial" w:cs="Arial"/>
          <w:sz w:val="24"/>
          <w:szCs w:val="24"/>
        </w:rPr>
        <w:t>not</w:t>
      </w:r>
      <w:r w:rsidR="00055E6B">
        <w:rPr>
          <w:rFonts w:ascii="Arial" w:hAnsi="Arial" w:cs="Arial"/>
          <w:sz w:val="24"/>
          <w:szCs w:val="24"/>
        </w:rPr>
        <w:t xml:space="preserve"> achieved. In fact, surveys suggest</w:t>
      </w:r>
      <w:r w:rsidR="002E3944">
        <w:rPr>
          <w:rFonts w:ascii="Arial" w:hAnsi="Arial" w:cs="Arial"/>
          <w:sz w:val="24"/>
          <w:szCs w:val="24"/>
        </w:rPr>
        <w:t>ed</w:t>
      </w:r>
      <w:r w:rsidR="00055E6B">
        <w:rPr>
          <w:rFonts w:ascii="Arial" w:hAnsi="Arial" w:cs="Arial"/>
          <w:sz w:val="24"/>
          <w:szCs w:val="24"/>
        </w:rPr>
        <w:t xml:space="preserve"> that although citizens approved of the reasons why stops and searches were carried o</w:t>
      </w:r>
      <w:r w:rsidR="003143C8">
        <w:rPr>
          <w:rFonts w:ascii="Arial" w:hAnsi="Arial" w:cs="Arial"/>
          <w:sz w:val="24"/>
          <w:szCs w:val="24"/>
        </w:rPr>
        <w:t>ut, the majority</w:t>
      </w:r>
      <w:r w:rsidR="00B96E19">
        <w:rPr>
          <w:rFonts w:ascii="Arial" w:hAnsi="Arial" w:cs="Arial"/>
          <w:sz w:val="24"/>
          <w:szCs w:val="24"/>
        </w:rPr>
        <w:t xml:space="preserve"> did not like officers’ behaviour. In addition, figures prove</w:t>
      </w:r>
      <w:r w:rsidR="001145CC">
        <w:rPr>
          <w:rFonts w:ascii="Arial" w:hAnsi="Arial" w:cs="Arial"/>
          <w:sz w:val="24"/>
          <w:szCs w:val="24"/>
        </w:rPr>
        <w:t>d</w:t>
      </w:r>
      <w:r w:rsidR="00B96E19">
        <w:rPr>
          <w:rFonts w:ascii="Arial" w:hAnsi="Arial" w:cs="Arial"/>
          <w:sz w:val="24"/>
          <w:szCs w:val="24"/>
        </w:rPr>
        <w:t xml:space="preserve"> that counter-terrorism powers were </w:t>
      </w:r>
      <w:r w:rsidR="009E7619">
        <w:rPr>
          <w:rFonts w:ascii="Arial" w:hAnsi="Arial" w:cs="Arial"/>
          <w:sz w:val="24"/>
          <w:szCs w:val="24"/>
        </w:rPr>
        <w:t>discriminatory</w:t>
      </w:r>
      <w:r w:rsidR="00B96E19">
        <w:rPr>
          <w:rFonts w:ascii="Arial" w:hAnsi="Arial" w:cs="Arial"/>
          <w:sz w:val="24"/>
          <w:szCs w:val="24"/>
        </w:rPr>
        <w:t>.</w:t>
      </w:r>
      <w:r w:rsidR="00855978">
        <w:rPr>
          <w:rFonts w:ascii="Arial" w:hAnsi="Arial" w:cs="Arial"/>
          <w:sz w:val="24"/>
          <w:szCs w:val="24"/>
        </w:rPr>
        <w:t xml:space="preserve"> As a result</w:t>
      </w:r>
      <w:r w:rsidR="00164BB6">
        <w:rPr>
          <w:rFonts w:ascii="Arial" w:hAnsi="Arial" w:cs="Arial"/>
          <w:sz w:val="24"/>
          <w:szCs w:val="24"/>
        </w:rPr>
        <w:t xml:space="preserve">, the government </w:t>
      </w:r>
      <w:r w:rsidR="00D26C01">
        <w:rPr>
          <w:rFonts w:ascii="Arial" w:hAnsi="Arial" w:cs="Arial"/>
          <w:sz w:val="24"/>
          <w:szCs w:val="24"/>
        </w:rPr>
        <w:t xml:space="preserve">responded to the pressure </w:t>
      </w:r>
      <w:r w:rsidR="00164BB6">
        <w:rPr>
          <w:rFonts w:ascii="Arial" w:hAnsi="Arial" w:cs="Arial"/>
          <w:sz w:val="24"/>
          <w:szCs w:val="24"/>
        </w:rPr>
        <w:t>by re</w:t>
      </w:r>
      <w:r w:rsidR="005C2763">
        <w:rPr>
          <w:rFonts w:ascii="Arial" w:hAnsi="Arial" w:cs="Arial"/>
          <w:sz w:val="24"/>
          <w:szCs w:val="24"/>
        </w:rPr>
        <w:t>pealing sections 44, 45, 46 and 47</w:t>
      </w:r>
      <w:r w:rsidR="0026686C">
        <w:rPr>
          <w:rStyle w:val="FootnoteReference"/>
          <w:rFonts w:ascii="Arial" w:hAnsi="Arial" w:cs="Arial"/>
          <w:sz w:val="24"/>
          <w:szCs w:val="24"/>
        </w:rPr>
        <w:footnoteReference w:id="100"/>
      </w:r>
      <w:r w:rsidR="00482A68">
        <w:rPr>
          <w:rFonts w:ascii="Arial" w:hAnsi="Arial" w:cs="Arial"/>
          <w:sz w:val="24"/>
          <w:szCs w:val="24"/>
        </w:rPr>
        <w:t xml:space="preserve">. </w:t>
      </w:r>
      <w:r w:rsidR="00855978">
        <w:rPr>
          <w:rFonts w:ascii="Arial" w:hAnsi="Arial" w:cs="Arial"/>
          <w:sz w:val="24"/>
          <w:szCs w:val="24"/>
        </w:rPr>
        <w:t>A</w:t>
      </w:r>
      <w:r w:rsidR="00482A68">
        <w:rPr>
          <w:rFonts w:ascii="Arial" w:hAnsi="Arial" w:cs="Arial"/>
          <w:sz w:val="24"/>
          <w:szCs w:val="24"/>
        </w:rPr>
        <w:t>t present officers must rely on section 43, which requires reasonable gr</w:t>
      </w:r>
      <w:r w:rsidR="005933E3">
        <w:rPr>
          <w:rFonts w:ascii="Arial" w:hAnsi="Arial" w:cs="Arial"/>
          <w:sz w:val="24"/>
          <w:szCs w:val="24"/>
        </w:rPr>
        <w:t>ounds of suspicion</w:t>
      </w:r>
      <w:r w:rsidR="00482A68">
        <w:rPr>
          <w:rFonts w:ascii="Arial" w:hAnsi="Arial" w:cs="Arial"/>
          <w:sz w:val="24"/>
          <w:szCs w:val="24"/>
        </w:rPr>
        <w:t xml:space="preserve"> when </w:t>
      </w:r>
      <w:r w:rsidR="00482A68">
        <w:rPr>
          <w:rFonts w:ascii="Arial" w:hAnsi="Arial" w:cs="Arial"/>
          <w:sz w:val="24"/>
          <w:szCs w:val="24"/>
        </w:rPr>
        <w:lastRenderedPageBreak/>
        <w:t xml:space="preserve">they stop or search potential terrorists. </w:t>
      </w:r>
      <w:r w:rsidR="00416572">
        <w:rPr>
          <w:rFonts w:ascii="Arial" w:hAnsi="Arial" w:cs="Arial"/>
          <w:sz w:val="24"/>
          <w:szCs w:val="24"/>
        </w:rPr>
        <w:t xml:space="preserve">This </w:t>
      </w:r>
      <w:r w:rsidR="00FF1E62">
        <w:rPr>
          <w:rFonts w:ascii="Arial" w:hAnsi="Arial" w:cs="Arial"/>
          <w:sz w:val="24"/>
          <w:szCs w:val="24"/>
        </w:rPr>
        <w:t xml:space="preserve">approach is in accordance with the European response to terrorism </w:t>
      </w:r>
      <w:r w:rsidR="003143C8">
        <w:rPr>
          <w:rFonts w:ascii="Arial" w:hAnsi="Arial" w:cs="Arial"/>
          <w:sz w:val="24"/>
          <w:szCs w:val="24"/>
        </w:rPr>
        <w:t>that</w:t>
      </w:r>
      <w:r w:rsidR="00FF1E62">
        <w:rPr>
          <w:rFonts w:ascii="Arial" w:hAnsi="Arial" w:cs="Arial"/>
          <w:sz w:val="24"/>
          <w:szCs w:val="24"/>
        </w:rPr>
        <w:t xml:space="preserve"> manages to be extremely respectful of h</w:t>
      </w:r>
      <w:r w:rsidR="002E3944">
        <w:rPr>
          <w:rFonts w:ascii="Arial" w:hAnsi="Arial" w:cs="Arial"/>
          <w:sz w:val="24"/>
          <w:szCs w:val="24"/>
        </w:rPr>
        <w:t>uman rights and simultaneously</w:t>
      </w:r>
      <w:r w:rsidR="00FF1E62">
        <w:rPr>
          <w:rFonts w:ascii="Arial" w:hAnsi="Arial" w:cs="Arial"/>
          <w:sz w:val="24"/>
          <w:szCs w:val="24"/>
        </w:rPr>
        <w:t xml:space="preserve"> quite effective</w:t>
      </w:r>
      <w:r w:rsidR="002E3944">
        <w:rPr>
          <w:rFonts w:ascii="Arial" w:hAnsi="Arial" w:cs="Arial"/>
          <w:sz w:val="24"/>
          <w:szCs w:val="24"/>
        </w:rPr>
        <w:t>, though lacking the latest technology. T</w:t>
      </w:r>
      <w:r w:rsidR="00E63ADB">
        <w:rPr>
          <w:rFonts w:ascii="Arial" w:hAnsi="Arial" w:cs="Arial"/>
          <w:sz w:val="24"/>
          <w:szCs w:val="24"/>
        </w:rPr>
        <w:t xml:space="preserve">he </w:t>
      </w:r>
      <w:r w:rsidR="002E3944">
        <w:rPr>
          <w:rFonts w:ascii="Arial" w:hAnsi="Arial" w:cs="Arial"/>
          <w:sz w:val="24"/>
          <w:szCs w:val="24"/>
        </w:rPr>
        <w:t xml:space="preserve">British government has not provided the police with sophisticated devices either. Nor </w:t>
      </w:r>
      <w:r w:rsidR="00802B09">
        <w:rPr>
          <w:rFonts w:ascii="Arial" w:hAnsi="Arial" w:cs="Arial"/>
          <w:sz w:val="24"/>
          <w:szCs w:val="24"/>
        </w:rPr>
        <w:t xml:space="preserve">has </w:t>
      </w:r>
      <w:r w:rsidR="002E3944">
        <w:rPr>
          <w:rFonts w:ascii="Arial" w:hAnsi="Arial" w:cs="Arial"/>
          <w:sz w:val="24"/>
          <w:szCs w:val="24"/>
        </w:rPr>
        <w:t>it</w:t>
      </w:r>
      <w:r w:rsidR="00802B09">
        <w:rPr>
          <w:rFonts w:ascii="Arial" w:hAnsi="Arial" w:cs="Arial"/>
          <w:sz w:val="24"/>
          <w:szCs w:val="24"/>
        </w:rPr>
        <w:t xml:space="preserve"> </w:t>
      </w:r>
      <w:r w:rsidR="00D41A9A">
        <w:rPr>
          <w:rFonts w:ascii="Arial" w:hAnsi="Arial" w:cs="Arial"/>
          <w:sz w:val="24"/>
          <w:szCs w:val="24"/>
        </w:rPr>
        <w:t>endors</w:t>
      </w:r>
      <w:r w:rsidR="00E63ADB">
        <w:rPr>
          <w:rFonts w:ascii="Arial" w:hAnsi="Arial" w:cs="Arial"/>
          <w:sz w:val="24"/>
          <w:szCs w:val="24"/>
        </w:rPr>
        <w:t>e</w:t>
      </w:r>
      <w:r w:rsidR="00802B09">
        <w:rPr>
          <w:rFonts w:ascii="Arial" w:hAnsi="Arial" w:cs="Arial"/>
          <w:sz w:val="24"/>
          <w:szCs w:val="24"/>
        </w:rPr>
        <w:t xml:space="preserve">d the concept of intuition, although research has proved that sixth sense and reasonable thoughts </w:t>
      </w:r>
      <w:r w:rsidR="00D27940">
        <w:rPr>
          <w:rFonts w:ascii="Arial" w:hAnsi="Arial" w:cs="Arial"/>
          <w:sz w:val="24"/>
          <w:szCs w:val="24"/>
        </w:rPr>
        <w:t>cannot be divorced</w:t>
      </w:r>
      <w:r w:rsidR="00802B09">
        <w:rPr>
          <w:rFonts w:ascii="Arial" w:hAnsi="Arial" w:cs="Arial"/>
          <w:sz w:val="24"/>
          <w:szCs w:val="24"/>
        </w:rPr>
        <w:t xml:space="preserve">. </w:t>
      </w:r>
      <w:r w:rsidR="002E3944">
        <w:rPr>
          <w:rFonts w:ascii="Arial" w:hAnsi="Arial" w:cs="Arial"/>
          <w:sz w:val="24"/>
          <w:szCs w:val="24"/>
        </w:rPr>
        <w:t>Thus</w:t>
      </w:r>
      <w:r w:rsidR="0084511C">
        <w:rPr>
          <w:rFonts w:ascii="Arial" w:hAnsi="Arial" w:cs="Arial"/>
          <w:sz w:val="24"/>
          <w:szCs w:val="24"/>
        </w:rPr>
        <w:t xml:space="preserve"> </w:t>
      </w:r>
      <w:r w:rsidR="00802B09">
        <w:rPr>
          <w:rFonts w:ascii="Arial" w:hAnsi="Arial" w:cs="Arial"/>
          <w:sz w:val="24"/>
          <w:szCs w:val="24"/>
        </w:rPr>
        <w:t>this essay</w:t>
      </w:r>
      <w:r w:rsidR="002E3944">
        <w:rPr>
          <w:rFonts w:ascii="Arial" w:hAnsi="Arial" w:cs="Arial"/>
          <w:sz w:val="24"/>
          <w:szCs w:val="24"/>
        </w:rPr>
        <w:t xml:space="preserve">, although admitting that the government has partially improved stop and search powers, </w:t>
      </w:r>
      <w:r w:rsidR="00802B09">
        <w:rPr>
          <w:rFonts w:ascii="Arial" w:hAnsi="Arial" w:cs="Arial"/>
          <w:sz w:val="24"/>
          <w:szCs w:val="24"/>
        </w:rPr>
        <w:t xml:space="preserve">propounds </w:t>
      </w:r>
      <w:r w:rsidR="00E86FAF">
        <w:rPr>
          <w:rFonts w:ascii="Arial" w:hAnsi="Arial" w:cs="Arial"/>
          <w:sz w:val="24"/>
          <w:szCs w:val="24"/>
        </w:rPr>
        <w:t xml:space="preserve">that </w:t>
      </w:r>
      <w:r w:rsidR="002E3944">
        <w:rPr>
          <w:rFonts w:ascii="Arial" w:hAnsi="Arial" w:cs="Arial"/>
          <w:sz w:val="24"/>
          <w:szCs w:val="24"/>
        </w:rPr>
        <w:t xml:space="preserve">they could be </w:t>
      </w:r>
      <w:r w:rsidR="00D27940">
        <w:rPr>
          <w:rFonts w:ascii="Arial" w:hAnsi="Arial" w:cs="Arial"/>
          <w:sz w:val="24"/>
          <w:szCs w:val="24"/>
        </w:rPr>
        <w:t>more effective</w:t>
      </w:r>
      <w:r w:rsidR="00E86FAF">
        <w:rPr>
          <w:rFonts w:ascii="Arial" w:hAnsi="Arial" w:cs="Arial"/>
          <w:sz w:val="24"/>
          <w:szCs w:val="24"/>
        </w:rPr>
        <w:t xml:space="preserve"> by fostering </w:t>
      </w:r>
      <w:r w:rsidR="0084511C">
        <w:rPr>
          <w:rFonts w:ascii="Arial" w:hAnsi="Arial" w:cs="Arial"/>
          <w:sz w:val="24"/>
          <w:szCs w:val="24"/>
        </w:rPr>
        <w:t>hunches</w:t>
      </w:r>
      <w:r w:rsidR="00D866AC">
        <w:rPr>
          <w:rFonts w:ascii="Arial" w:hAnsi="Arial" w:cs="Arial"/>
          <w:sz w:val="24"/>
          <w:szCs w:val="24"/>
        </w:rPr>
        <w:t xml:space="preserve"> and </w:t>
      </w:r>
      <w:r w:rsidR="0084511C">
        <w:rPr>
          <w:rFonts w:ascii="Arial" w:hAnsi="Arial" w:cs="Arial"/>
          <w:sz w:val="24"/>
          <w:szCs w:val="24"/>
        </w:rPr>
        <w:t>profiling</w:t>
      </w:r>
      <w:r w:rsidR="00E86FAF">
        <w:rPr>
          <w:rFonts w:ascii="Arial" w:hAnsi="Arial" w:cs="Arial"/>
          <w:sz w:val="24"/>
          <w:szCs w:val="24"/>
        </w:rPr>
        <w:t xml:space="preserve"> techniques. </w:t>
      </w:r>
      <w:r w:rsidR="00D866AC">
        <w:rPr>
          <w:rFonts w:ascii="Arial" w:hAnsi="Arial" w:cs="Arial"/>
          <w:sz w:val="24"/>
          <w:szCs w:val="24"/>
        </w:rPr>
        <w:t xml:space="preserve"> </w:t>
      </w:r>
      <w:r w:rsidR="00E86FAF">
        <w:rPr>
          <w:rFonts w:ascii="Arial" w:hAnsi="Arial" w:cs="Arial"/>
          <w:sz w:val="24"/>
          <w:szCs w:val="24"/>
        </w:rPr>
        <w:t xml:space="preserve">Similarly, </w:t>
      </w:r>
      <w:r w:rsidR="00D866AC">
        <w:rPr>
          <w:rFonts w:ascii="Arial" w:hAnsi="Arial" w:cs="Arial"/>
          <w:sz w:val="24"/>
          <w:szCs w:val="24"/>
        </w:rPr>
        <w:t xml:space="preserve">disproportionality and complaints could be reduced if racist policemen </w:t>
      </w:r>
      <w:r w:rsidR="005F036D">
        <w:rPr>
          <w:rFonts w:ascii="Arial" w:hAnsi="Arial" w:cs="Arial"/>
          <w:sz w:val="24"/>
          <w:szCs w:val="24"/>
        </w:rPr>
        <w:t>were punished more thoroughly and the</w:t>
      </w:r>
      <w:r w:rsidR="0083694E">
        <w:rPr>
          <w:rFonts w:ascii="Arial" w:hAnsi="Arial" w:cs="Arial"/>
          <w:sz w:val="24"/>
          <w:szCs w:val="24"/>
        </w:rPr>
        <w:t xml:space="preserve"> unskilled ones trained.</w:t>
      </w:r>
    </w:p>
    <w:p w14:paraId="285F7EE6" w14:textId="77777777" w:rsidR="00561E97" w:rsidRDefault="00561E97" w:rsidP="00561E97">
      <w:pPr>
        <w:spacing w:line="360" w:lineRule="auto"/>
        <w:ind w:left="1417"/>
        <w:jc w:val="both"/>
        <w:rPr>
          <w:rFonts w:ascii="Arial" w:hAnsi="Arial" w:cs="Arial"/>
          <w:sz w:val="24"/>
          <w:szCs w:val="24"/>
        </w:rPr>
      </w:pPr>
    </w:p>
    <w:p w14:paraId="72941751" w14:textId="77777777" w:rsidR="00561E97" w:rsidRPr="00561E97" w:rsidRDefault="00561E97" w:rsidP="00561E97">
      <w:pPr>
        <w:spacing w:line="360" w:lineRule="auto"/>
        <w:ind w:left="1417"/>
        <w:jc w:val="both"/>
        <w:rPr>
          <w:rFonts w:ascii="Arial" w:hAnsi="Arial" w:cs="Arial"/>
          <w:sz w:val="24"/>
          <w:szCs w:val="24"/>
        </w:rPr>
      </w:pPr>
    </w:p>
    <w:p w14:paraId="364F6F7E" w14:textId="77777777" w:rsidR="00F975A6" w:rsidRPr="00BD26AA" w:rsidRDefault="00234F2F" w:rsidP="00F91605">
      <w:pPr>
        <w:tabs>
          <w:tab w:val="left" w:pos="2703"/>
        </w:tabs>
        <w:spacing w:line="360" w:lineRule="auto"/>
        <w:ind w:left="1417"/>
        <w:jc w:val="center"/>
        <w:rPr>
          <w:rFonts w:ascii="Arial" w:hAnsi="Arial" w:cs="Arial"/>
          <w:sz w:val="32"/>
          <w:szCs w:val="32"/>
          <w:lang w:val="en-US"/>
        </w:rPr>
      </w:pPr>
      <w:r w:rsidRPr="00BD26AA">
        <w:rPr>
          <w:rFonts w:ascii="Arial" w:hAnsi="Arial" w:cs="Arial"/>
          <w:sz w:val="32"/>
          <w:szCs w:val="32"/>
          <w:lang w:val="en-US"/>
        </w:rPr>
        <w:t>BIBLIOGRAPHY</w:t>
      </w:r>
    </w:p>
    <w:p w14:paraId="2075125C" w14:textId="77777777" w:rsidR="00234F2F" w:rsidRPr="0088517C" w:rsidRDefault="00234F2F" w:rsidP="00F91605">
      <w:pPr>
        <w:tabs>
          <w:tab w:val="left" w:pos="2703"/>
        </w:tabs>
        <w:spacing w:line="360" w:lineRule="auto"/>
        <w:ind w:left="1417"/>
        <w:rPr>
          <w:rFonts w:ascii="Arial" w:hAnsi="Arial" w:cs="Arial"/>
          <w:sz w:val="26"/>
          <w:szCs w:val="26"/>
          <w:lang w:val="en-US"/>
        </w:rPr>
      </w:pPr>
      <w:r w:rsidRPr="0088517C">
        <w:rPr>
          <w:rFonts w:ascii="Arial" w:hAnsi="Arial" w:cs="Arial"/>
          <w:sz w:val="26"/>
          <w:szCs w:val="26"/>
          <w:lang w:val="en-US"/>
        </w:rPr>
        <w:t>Legislation:</w:t>
      </w:r>
    </w:p>
    <w:p w14:paraId="464E283E" w14:textId="77777777" w:rsidR="00234F2F" w:rsidRPr="0088517C" w:rsidRDefault="00234F2F" w:rsidP="00F91605">
      <w:pPr>
        <w:pStyle w:val="ListParagraph"/>
        <w:numPr>
          <w:ilvl w:val="0"/>
          <w:numId w:val="1"/>
        </w:numPr>
        <w:tabs>
          <w:tab w:val="left" w:pos="2703"/>
        </w:tabs>
        <w:spacing w:line="360" w:lineRule="auto"/>
        <w:ind w:left="1417"/>
        <w:rPr>
          <w:rFonts w:ascii="Arial" w:hAnsi="Arial" w:cs="Arial"/>
          <w:sz w:val="24"/>
          <w:szCs w:val="24"/>
          <w:u w:val="single"/>
          <w:lang w:val="en-US"/>
        </w:rPr>
      </w:pPr>
      <w:r w:rsidRPr="0088517C">
        <w:rPr>
          <w:rFonts w:ascii="Arial" w:hAnsi="Arial" w:cs="Arial"/>
          <w:sz w:val="24"/>
          <w:szCs w:val="24"/>
          <w:u w:val="single"/>
          <w:lang w:val="en-US"/>
        </w:rPr>
        <w:t>Criminal Justice and Public Order Act 1994 (s. 60)</w:t>
      </w:r>
    </w:p>
    <w:p w14:paraId="3F6A9DAD" w14:textId="77777777" w:rsidR="00995B75" w:rsidRPr="0088517C" w:rsidRDefault="00234F2F" w:rsidP="00F91605">
      <w:pPr>
        <w:pStyle w:val="ListParagraph"/>
        <w:numPr>
          <w:ilvl w:val="0"/>
          <w:numId w:val="1"/>
        </w:numPr>
        <w:tabs>
          <w:tab w:val="left" w:pos="2703"/>
        </w:tabs>
        <w:spacing w:line="360" w:lineRule="auto"/>
        <w:ind w:left="1417"/>
        <w:rPr>
          <w:rFonts w:ascii="Arial" w:hAnsi="Arial" w:cs="Arial"/>
          <w:sz w:val="24"/>
          <w:szCs w:val="24"/>
          <w:u w:val="single"/>
          <w:lang w:val="en-US"/>
        </w:rPr>
      </w:pPr>
      <w:r w:rsidRPr="0088517C">
        <w:rPr>
          <w:rFonts w:ascii="Arial" w:hAnsi="Arial" w:cs="Arial"/>
          <w:sz w:val="24"/>
          <w:szCs w:val="24"/>
          <w:u w:val="single"/>
          <w:lang w:val="en-US"/>
        </w:rPr>
        <w:t xml:space="preserve">European Convention on Human Rights </w:t>
      </w:r>
      <w:r w:rsidR="00995B75" w:rsidRPr="0088517C">
        <w:rPr>
          <w:rFonts w:ascii="Arial" w:hAnsi="Arial" w:cs="Arial"/>
          <w:sz w:val="24"/>
          <w:szCs w:val="24"/>
          <w:u w:val="single"/>
          <w:lang w:val="en-US"/>
        </w:rPr>
        <w:t xml:space="preserve">1950 </w:t>
      </w:r>
      <w:r w:rsidR="00045E11">
        <w:rPr>
          <w:rFonts w:ascii="Arial" w:hAnsi="Arial" w:cs="Arial"/>
          <w:sz w:val="24"/>
          <w:szCs w:val="24"/>
          <w:u w:val="single"/>
          <w:lang w:val="en-US"/>
        </w:rPr>
        <w:t>art. 5, 8</w:t>
      </w:r>
      <w:r w:rsidR="00BD7921" w:rsidRPr="0088517C">
        <w:rPr>
          <w:rFonts w:ascii="Arial" w:hAnsi="Arial" w:cs="Arial"/>
          <w:sz w:val="24"/>
          <w:szCs w:val="24"/>
          <w:u w:val="single"/>
          <w:lang w:val="en-US"/>
        </w:rPr>
        <w:t>, 10, 11</w:t>
      </w:r>
    </w:p>
    <w:p w14:paraId="782FD6CD" w14:textId="77777777" w:rsidR="00234F2F" w:rsidRPr="0088517C" w:rsidRDefault="00B05A14" w:rsidP="00F91605">
      <w:pPr>
        <w:pStyle w:val="ListParagraph"/>
        <w:numPr>
          <w:ilvl w:val="0"/>
          <w:numId w:val="1"/>
        </w:numPr>
        <w:tabs>
          <w:tab w:val="left" w:pos="2703"/>
        </w:tabs>
        <w:spacing w:line="360" w:lineRule="auto"/>
        <w:ind w:left="1417"/>
        <w:rPr>
          <w:rFonts w:ascii="Arial" w:hAnsi="Arial" w:cs="Arial"/>
          <w:sz w:val="24"/>
          <w:szCs w:val="24"/>
          <w:u w:val="single"/>
          <w:lang w:val="en-US"/>
        </w:rPr>
      </w:pPr>
      <w:r w:rsidRPr="0088517C">
        <w:rPr>
          <w:rFonts w:ascii="Arial" w:hAnsi="Arial" w:cs="Arial"/>
          <w:sz w:val="24"/>
          <w:szCs w:val="24"/>
          <w:u w:val="single"/>
          <w:lang w:val="en-US"/>
        </w:rPr>
        <w:t>Human Rights Act 1998</w:t>
      </w:r>
    </w:p>
    <w:p w14:paraId="5E507852" w14:textId="77777777" w:rsidR="00B05A14" w:rsidRPr="0088517C" w:rsidRDefault="00B05A14" w:rsidP="00F91605">
      <w:pPr>
        <w:pStyle w:val="ListParagraph"/>
        <w:numPr>
          <w:ilvl w:val="0"/>
          <w:numId w:val="1"/>
        </w:numPr>
        <w:tabs>
          <w:tab w:val="left" w:pos="2703"/>
        </w:tabs>
        <w:spacing w:line="360" w:lineRule="auto"/>
        <w:ind w:left="1417"/>
        <w:rPr>
          <w:rFonts w:ascii="Arial" w:hAnsi="Arial" w:cs="Arial"/>
          <w:sz w:val="24"/>
          <w:szCs w:val="24"/>
          <w:u w:val="single"/>
          <w:lang w:val="en-US"/>
        </w:rPr>
      </w:pPr>
      <w:r w:rsidRPr="0088517C">
        <w:rPr>
          <w:rFonts w:ascii="Arial" w:hAnsi="Arial" w:cs="Arial"/>
          <w:sz w:val="24"/>
          <w:szCs w:val="24"/>
          <w:u w:val="single"/>
          <w:lang w:val="en-US"/>
        </w:rPr>
        <w:t>Misuse of Drugs Act 1971</w:t>
      </w:r>
      <w:r w:rsidR="00497BA5" w:rsidRPr="0088517C">
        <w:rPr>
          <w:rFonts w:ascii="Arial" w:hAnsi="Arial" w:cs="Arial"/>
          <w:sz w:val="24"/>
          <w:szCs w:val="24"/>
          <w:u w:val="single"/>
          <w:lang w:val="en-US"/>
        </w:rPr>
        <w:t xml:space="preserve"> (s. 23)</w:t>
      </w:r>
    </w:p>
    <w:p w14:paraId="5024D9C0" w14:textId="77777777" w:rsidR="00264656" w:rsidRDefault="0015130A" w:rsidP="00F91605">
      <w:pPr>
        <w:pStyle w:val="ListParagraph"/>
        <w:numPr>
          <w:ilvl w:val="0"/>
          <w:numId w:val="1"/>
        </w:numPr>
        <w:tabs>
          <w:tab w:val="left" w:pos="2703"/>
        </w:tabs>
        <w:spacing w:line="360" w:lineRule="auto"/>
        <w:ind w:left="1417"/>
        <w:rPr>
          <w:rFonts w:ascii="Arial" w:hAnsi="Arial" w:cs="Arial"/>
          <w:sz w:val="24"/>
          <w:szCs w:val="24"/>
          <w:u w:val="single"/>
          <w:lang w:val="en-US"/>
        </w:rPr>
      </w:pPr>
      <w:r>
        <w:rPr>
          <w:rFonts w:ascii="Arial" w:hAnsi="Arial" w:cs="Arial"/>
          <w:sz w:val="24"/>
          <w:szCs w:val="24"/>
          <w:u w:val="single"/>
          <w:lang w:val="it-IT"/>
        </w:rPr>
        <w:t>Police Act 1996, s 89(2)</w:t>
      </w:r>
    </w:p>
    <w:p w14:paraId="30C26D2C" w14:textId="77777777" w:rsidR="00F975A6" w:rsidRPr="0088517C" w:rsidRDefault="00F975A6" w:rsidP="00F91605">
      <w:pPr>
        <w:pStyle w:val="ListParagraph"/>
        <w:numPr>
          <w:ilvl w:val="0"/>
          <w:numId w:val="1"/>
        </w:numPr>
        <w:tabs>
          <w:tab w:val="left" w:pos="2703"/>
        </w:tabs>
        <w:spacing w:line="360" w:lineRule="auto"/>
        <w:ind w:left="1417"/>
        <w:rPr>
          <w:rFonts w:ascii="Arial" w:hAnsi="Arial" w:cs="Arial"/>
          <w:sz w:val="24"/>
          <w:szCs w:val="24"/>
          <w:u w:val="single"/>
          <w:lang w:val="en-US"/>
        </w:rPr>
      </w:pPr>
      <w:r w:rsidRPr="0088517C">
        <w:rPr>
          <w:rFonts w:ascii="Arial" w:hAnsi="Arial" w:cs="Arial"/>
          <w:sz w:val="24"/>
          <w:szCs w:val="24"/>
          <w:u w:val="single"/>
          <w:lang w:val="en-US"/>
        </w:rPr>
        <w:t>Police and Criminal Evidence Act 1984 (PACE)</w:t>
      </w:r>
      <w:r w:rsidR="001848CE" w:rsidRPr="0088517C">
        <w:rPr>
          <w:rFonts w:ascii="Arial" w:hAnsi="Arial" w:cs="Arial"/>
          <w:sz w:val="24"/>
          <w:szCs w:val="24"/>
          <w:u w:val="single"/>
          <w:lang w:val="en-US"/>
        </w:rPr>
        <w:t xml:space="preserve"> (s. 1)</w:t>
      </w:r>
    </w:p>
    <w:p w14:paraId="2DE30355" w14:textId="77777777" w:rsidR="00995B75" w:rsidRPr="0088517C" w:rsidRDefault="00995B75" w:rsidP="00F91605">
      <w:pPr>
        <w:pStyle w:val="ListParagraph"/>
        <w:numPr>
          <w:ilvl w:val="0"/>
          <w:numId w:val="1"/>
        </w:numPr>
        <w:spacing w:line="360" w:lineRule="auto"/>
        <w:ind w:left="1417"/>
        <w:rPr>
          <w:rFonts w:ascii="Arial" w:hAnsi="Arial" w:cs="Arial"/>
          <w:sz w:val="24"/>
          <w:szCs w:val="24"/>
          <w:u w:val="single"/>
          <w:lang w:val="en-US"/>
        </w:rPr>
      </w:pPr>
      <w:r w:rsidRPr="0088517C">
        <w:rPr>
          <w:rFonts w:ascii="Arial" w:hAnsi="Arial" w:cs="Arial"/>
          <w:sz w:val="24"/>
          <w:szCs w:val="24"/>
          <w:u w:val="single"/>
          <w:lang w:val="en-US"/>
        </w:rPr>
        <w:t>Protection of Freedoms Act 2012</w:t>
      </w:r>
      <w:r w:rsidR="00677DB9" w:rsidRPr="0088517C">
        <w:rPr>
          <w:rFonts w:ascii="Arial" w:hAnsi="Arial" w:cs="Arial"/>
          <w:sz w:val="24"/>
          <w:szCs w:val="24"/>
          <w:u w:val="single"/>
          <w:lang w:val="en-US"/>
        </w:rPr>
        <w:t xml:space="preserve"> (ss. 59, 62)</w:t>
      </w:r>
    </w:p>
    <w:p w14:paraId="79039F41" w14:textId="77777777" w:rsidR="00AE0B3F" w:rsidRDefault="00AE0B3F" w:rsidP="00F91605">
      <w:pPr>
        <w:pStyle w:val="ListParagraph"/>
        <w:numPr>
          <w:ilvl w:val="0"/>
          <w:numId w:val="1"/>
        </w:numPr>
        <w:tabs>
          <w:tab w:val="left" w:pos="2703"/>
        </w:tabs>
        <w:spacing w:line="360" w:lineRule="auto"/>
        <w:ind w:left="1417"/>
        <w:rPr>
          <w:rFonts w:ascii="Arial" w:hAnsi="Arial" w:cs="Arial"/>
          <w:sz w:val="24"/>
          <w:szCs w:val="24"/>
          <w:u w:val="single"/>
          <w:lang w:val="en-US"/>
        </w:rPr>
      </w:pPr>
      <w:r>
        <w:rPr>
          <w:rFonts w:ascii="Arial" w:hAnsi="Arial" w:cs="Arial"/>
          <w:sz w:val="24"/>
          <w:szCs w:val="24"/>
          <w:u w:val="single"/>
          <w:lang w:val="en-US"/>
        </w:rPr>
        <w:t>Race Relations Act 1976</w:t>
      </w:r>
    </w:p>
    <w:p w14:paraId="1B01767A" w14:textId="77777777" w:rsidR="00234F2F" w:rsidRPr="0088517C" w:rsidRDefault="00234F2F" w:rsidP="00F91605">
      <w:pPr>
        <w:pStyle w:val="ListParagraph"/>
        <w:numPr>
          <w:ilvl w:val="0"/>
          <w:numId w:val="1"/>
        </w:numPr>
        <w:tabs>
          <w:tab w:val="left" w:pos="2703"/>
        </w:tabs>
        <w:spacing w:line="360" w:lineRule="auto"/>
        <w:ind w:left="1417"/>
        <w:rPr>
          <w:rFonts w:ascii="Arial" w:hAnsi="Arial" w:cs="Arial"/>
          <w:sz w:val="24"/>
          <w:szCs w:val="24"/>
          <w:u w:val="single"/>
          <w:lang w:val="en-US"/>
        </w:rPr>
      </w:pPr>
      <w:r w:rsidRPr="0088517C">
        <w:rPr>
          <w:rFonts w:ascii="Arial" w:hAnsi="Arial" w:cs="Arial"/>
          <w:sz w:val="24"/>
          <w:szCs w:val="24"/>
          <w:u w:val="single"/>
          <w:lang w:val="en-US"/>
        </w:rPr>
        <w:t>Terrorism Act 2000 (s</w:t>
      </w:r>
      <w:r w:rsidR="00497BA5" w:rsidRPr="0088517C">
        <w:rPr>
          <w:rFonts w:ascii="Arial" w:hAnsi="Arial" w:cs="Arial"/>
          <w:sz w:val="24"/>
          <w:szCs w:val="24"/>
          <w:u w:val="single"/>
          <w:lang w:val="en-US"/>
        </w:rPr>
        <w:t>s</w:t>
      </w:r>
      <w:r w:rsidR="00677DB9" w:rsidRPr="0088517C">
        <w:rPr>
          <w:rFonts w:ascii="Arial" w:hAnsi="Arial" w:cs="Arial"/>
          <w:sz w:val="24"/>
          <w:szCs w:val="24"/>
          <w:u w:val="single"/>
          <w:lang w:val="en-US"/>
        </w:rPr>
        <w:t>. 43</w:t>
      </w:r>
      <w:r w:rsidRPr="0088517C">
        <w:rPr>
          <w:rFonts w:ascii="Arial" w:hAnsi="Arial" w:cs="Arial"/>
          <w:sz w:val="24"/>
          <w:szCs w:val="24"/>
          <w:u w:val="single"/>
          <w:lang w:val="en-US"/>
        </w:rPr>
        <w:t>-47)</w:t>
      </w:r>
    </w:p>
    <w:p w14:paraId="222AF586" w14:textId="77777777" w:rsidR="001821A0" w:rsidRPr="001821A0" w:rsidRDefault="001821A0" w:rsidP="001821A0">
      <w:pPr>
        <w:pStyle w:val="ListParagraph"/>
        <w:numPr>
          <w:ilvl w:val="0"/>
          <w:numId w:val="1"/>
        </w:numPr>
        <w:spacing w:line="360" w:lineRule="auto"/>
        <w:ind w:left="1417"/>
        <w:rPr>
          <w:rFonts w:ascii="Arial" w:hAnsi="Arial" w:cs="Arial"/>
          <w:sz w:val="24"/>
          <w:szCs w:val="24"/>
          <w:u w:val="single"/>
          <w:lang w:val="en-US"/>
        </w:rPr>
      </w:pPr>
      <w:r w:rsidRPr="0088517C">
        <w:rPr>
          <w:rFonts w:ascii="Arial" w:hAnsi="Arial" w:cs="Arial"/>
          <w:sz w:val="24"/>
          <w:szCs w:val="24"/>
          <w:u w:val="single"/>
          <w:lang w:val="en-US"/>
        </w:rPr>
        <w:t>Terrorism Act 2006</w:t>
      </w:r>
    </w:p>
    <w:p w14:paraId="6519C8EE" w14:textId="139B5F6E" w:rsidR="00E22607" w:rsidRDefault="00677DB9" w:rsidP="00F91605">
      <w:pPr>
        <w:pStyle w:val="ListParagraph"/>
        <w:numPr>
          <w:ilvl w:val="0"/>
          <w:numId w:val="1"/>
        </w:numPr>
        <w:tabs>
          <w:tab w:val="left" w:pos="2703"/>
        </w:tabs>
        <w:spacing w:line="360" w:lineRule="auto"/>
        <w:ind w:left="1417"/>
        <w:rPr>
          <w:rFonts w:ascii="Arial" w:hAnsi="Arial" w:cs="Arial"/>
          <w:sz w:val="24"/>
          <w:szCs w:val="24"/>
          <w:u w:val="single"/>
          <w:lang w:val="en-US"/>
        </w:rPr>
      </w:pPr>
      <w:r w:rsidRPr="0088517C">
        <w:rPr>
          <w:rFonts w:ascii="Arial" w:hAnsi="Arial" w:cs="Arial"/>
          <w:sz w:val="24"/>
          <w:szCs w:val="24"/>
          <w:u w:val="single"/>
          <w:lang w:val="en-US"/>
        </w:rPr>
        <w:t>Terrorism Act (Remedial) Order 2011</w:t>
      </w:r>
    </w:p>
    <w:p w14:paraId="5BB536A4" w14:textId="4481C7FB" w:rsidR="001B425E" w:rsidRPr="00E22607" w:rsidRDefault="00E22607" w:rsidP="00E22607">
      <w:pPr>
        <w:rPr>
          <w:rFonts w:ascii="Arial" w:hAnsi="Arial" w:cs="Arial"/>
          <w:sz w:val="24"/>
          <w:szCs w:val="24"/>
          <w:u w:val="single"/>
          <w:lang w:val="en-US"/>
        </w:rPr>
      </w:pPr>
      <w:r>
        <w:rPr>
          <w:rFonts w:ascii="Arial" w:hAnsi="Arial" w:cs="Arial"/>
          <w:sz w:val="24"/>
          <w:szCs w:val="24"/>
          <w:u w:val="single"/>
          <w:lang w:val="en-US"/>
        </w:rPr>
        <w:br w:type="page"/>
      </w:r>
    </w:p>
    <w:p w14:paraId="529AC79B" w14:textId="77777777" w:rsidR="00CA2435" w:rsidRPr="0088517C" w:rsidRDefault="00234F2F" w:rsidP="00F91605">
      <w:pPr>
        <w:tabs>
          <w:tab w:val="left" w:pos="2703"/>
        </w:tabs>
        <w:spacing w:line="360" w:lineRule="auto"/>
        <w:ind w:left="1417"/>
        <w:rPr>
          <w:rFonts w:ascii="Arial" w:hAnsi="Arial" w:cs="Arial"/>
          <w:sz w:val="26"/>
          <w:szCs w:val="26"/>
          <w:lang w:val="en-US"/>
        </w:rPr>
      </w:pPr>
      <w:r w:rsidRPr="0088517C">
        <w:rPr>
          <w:rFonts w:ascii="Arial" w:hAnsi="Arial" w:cs="Arial"/>
          <w:sz w:val="26"/>
          <w:szCs w:val="26"/>
          <w:lang w:val="en-US"/>
        </w:rPr>
        <w:lastRenderedPageBreak/>
        <w:t xml:space="preserve">Cases: </w:t>
      </w:r>
    </w:p>
    <w:p w14:paraId="16E878C7" w14:textId="77777777" w:rsidR="00505907" w:rsidRPr="00505907" w:rsidRDefault="00234F2F" w:rsidP="00505907">
      <w:pPr>
        <w:pStyle w:val="ListParagraph"/>
        <w:numPr>
          <w:ilvl w:val="0"/>
          <w:numId w:val="2"/>
        </w:numPr>
        <w:tabs>
          <w:tab w:val="left" w:pos="2703"/>
        </w:tabs>
        <w:spacing w:line="360" w:lineRule="auto"/>
        <w:ind w:left="1417"/>
        <w:rPr>
          <w:rFonts w:ascii="Arial" w:hAnsi="Arial" w:cs="Arial"/>
          <w:sz w:val="26"/>
          <w:szCs w:val="26"/>
          <w:lang w:val="en-US"/>
        </w:rPr>
      </w:pPr>
      <w:r w:rsidRPr="008042B1">
        <w:rPr>
          <w:rFonts w:ascii="Arial" w:hAnsi="Arial" w:cs="Arial"/>
          <w:i/>
          <w:sz w:val="24"/>
          <w:szCs w:val="24"/>
          <w:lang w:val="en-US"/>
        </w:rPr>
        <w:t>Gillan and Quinton v. The United Kingdom (Application no. 4158/05)</w:t>
      </w:r>
      <w:r w:rsidR="004B1DE0" w:rsidRPr="008042B1">
        <w:rPr>
          <w:rFonts w:ascii="Arial" w:hAnsi="Arial" w:cs="Arial"/>
          <w:i/>
          <w:sz w:val="24"/>
          <w:szCs w:val="24"/>
          <w:lang w:val="en-US"/>
        </w:rPr>
        <w:t xml:space="preserve"> </w:t>
      </w:r>
      <w:hyperlink r:id="rId9" w:anchor="{%22itemid%22:[%22001-96585%22]}" w:history="1">
        <w:r w:rsidR="004B1DE0" w:rsidRPr="008042B1">
          <w:rPr>
            <w:rStyle w:val="Hyperlink"/>
            <w:rFonts w:ascii="Arial" w:hAnsi="Arial" w:cs="Arial"/>
            <w:i/>
            <w:sz w:val="24"/>
            <w:szCs w:val="24"/>
            <w:lang w:val="en-US"/>
          </w:rPr>
          <w:t>http://hudoc.echr.coe.int/sites/eng/pages/search.aspx?i=001-96585#{%22itemid%22:[%22001-96585%22]}</w:t>
        </w:r>
      </w:hyperlink>
      <w:r w:rsidR="004B1DE0" w:rsidRPr="008042B1">
        <w:rPr>
          <w:rFonts w:ascii="Arial" w:hAnsi="Arial" w:cs="Arial"/>
          <w:i/>
          <w:sz w:val="24"/>
          <w:szCs w:val="24"/>
          <w:lang w:val="en-US"/>
        </w:rPr>
        <w:t xml:space="preserve"> </w:t>
      </w:r>
    </w:p>
    <w:p w14:paraId="6F6E1A3F" w14:textId="77777777" w:rsidR="00505907" w:rsidRPr="00505907" w:rsidRDefault="00505907" w:rsidP="00505907">
      <w:pPr>
        <w:pStyle w:val="ListParagraph"/>
        <w:numPr>
          <w:ilvl w:val="0"/>
          <w:numId w:val="2"/>
        </w:numPr>
        <w:tabs>
          <w:tab w:val="left" w:pos="2703"/>
        </w:tabs>
        <w:spacing w:line="360" w:lineRule="auto"/>
        <w:ind w:left="1417"/>
        <w:rPr>
          <w:rFonts w:ascii="Arial" w:hAnsi="Arial" w:cs="Arial"/>
          <w:sz w:val="26"/>
          <w:szCs w:val="26"/>
          <w:lang w:val="en-US"/>
        </w:rPr>
      </w:pPr>
      <w:r w:rsidRPr="00505907">
        <w:rPr>
          <w:rFonts w:ascii="Arial" w:hAnsi="Arial" w:cs="Arial"/>
          <w:i/>
          <w:sz w:val="24"/>
          <w:szCs w:val="24"/>
          <w:lang w:val="en-US"/>
        </w:rPr>
        <w:t>R (on the application of Hicks) v Metropolitan Police Comr [2012] EWHC 1947 (Admin), [2012] All ER (D) 232 (Jul)</w:t>
      </w:r>
    </w:p>
    <w:p w14:paraId="6DF1C650" w14:textId="77777777" w:rsidR="000A4DC2" w:rsidRPr="0088517C" w:rsidRDefault="000A4DC2" w:rsidP="00F91605">
      <w:pPr>
        <w:pStyle w:val="ListParagraph"/>
        <w:numPr>
          <w:ilvl w:val="0"/>
          <w:numId w:val="2"/>
        </w:numPr>
        <w:tabs>
          <w:tab w:val="left" w:pos="2703"/>
        </w:tabs>
        <w:spacing w:line="360" w:lineRule="auto"/>
        <w:ind w:left="1417"/>
        <w:rPr>
          <w:rFonts w:ascii="Arial" w:hAnsi="Arial" w:cs="Arial"/>
          <w:i/>
          <w:sz w:val="24"/>
          <w:szCs w:val="24"/>
          <w:lang w:val="en-US"/>
        </w:rPr>
      </w:pPr>
      <w:r w:rsidRPr="0088517C">
        <w:rPr>
          <w:rStyle w:val="st"/>
          <w:rFonts w:ascii="Arial" w:hAnsi="Arial" w:cs="Arial"/>
          <w:i/>
          <w:sz w:val="24"/>
          <w:szCs w:val="24"/>
        </w:rPr>
        <w:t xml:space="preserve">R (European </w:t>
      </w:r>
      <w:r w:rsidRPr="0088517C">
        <w:rPr>
          <w:rStyle w:val="Emphasis"/>
          <w:rFonts w:ascii="Arial" w:hAnsi="Arial" w:cs="Arial"/>
          <w:i w:val="0"/>
          <w:sz w:val="24"/>
          <w:szCs w:val="24"/>
        </w:rPr>
        <w:t>Roma Rights</w:t>
      </w:r>
      <w:r w:rsidRPr="0088517C">
        <w:rPr>
          <w:rStyle w:val="st"/>
          <w:rFonts w:ascii="Arial" w:hAnsi="Arial" w:cs="Arial"/>
          <w:i/>
          <w:sz w:val="24"/>
          <w:szCs w:val="24"/>
        </w:rPr>
        <w:t xml:space="preserve"> Centre) v Immigration Officer at Prague Airport [2004] UKHL 55</w:t>
      </w:r>
    </w:p>
    <w:p w14:paraId="6F51ECC3" w14:textId="77777777" w:rsidR="00234F2F" w:rsidRPr="0088517C" w:rsidRDefault="00234F2F" w:rsidP="00F91605">
      <w:pPr>
        <w:pStyle w:val="ListParagraph"/>
        <w:numPr>
          <w:ilvl w:val="0"/>
          <w:numId w:val="2"/>
        </w:numPr>
        <w:tabs>
          <w:tab w:val="left" w:pos="2703"/>
        </w:tabs>
        <w:spacing w:line="360" w:lineRule="auto"/>
        <w:ind w:left="1417"/>
        <w:rPr>
          <w:rFonts w:ascii="Arial" w:hAnsi="Arial" w:cs="Arial"/>
          <w:i/>
          <w:sz w:val="24"/>
          <w:szCs w:val="24"/>
          <w:lang w:val="en-US"/>
        </w:rPr>
      </w:pPr>
      <w:r w:rsidRPr="0088517C">
        <w:rPr>
          <w:rFonts w:ascii="Arial" w:hAnsi="Arial" w:cs="Arial"/>
          <w:i/>
          <w:sz w:val="24"/>
          <w:szCs w:val="24"/>
          <w:lang w:val="en-US"/>
        </w:rPr>
        <w:t>R (on the application of Gillan and another) v. Commissioner of Police for the Metropolis [2006] UKHL 12</w:t>
      </w:r>
    </w:p>
    <w:p w14:paraId="34F4DEDD" w14:textId="77777777" w:rsidR="00234F2F" w:rsidRPr="0088517C" w:rsidRDefault="00234F2F" w:rsidP="00F91605">
      <w:pPr>
        <w:pStyle w:val="ListParagraph"/>
        <w:numPr>
          <w:ilvl w:val="0"/>
          <w:numId w:val="2"/>
        </w:numPr>
        <w:tabs>
          <w:tab w:val="left" w:pos="2703"/>
        </w:tabs>
        <w:spacing w:line="360" w:lineRule="auto"/>
        <w:ind w:left="1417"/>
        <w:rPr>
          <w:rFonts w:ascii="Arial" w:hAnsi="Arial" w:cs="Arial"/>
          <w:i/>
          <w:sz w:val="24"/>
          <w:szCs w:val="24"/>
          <w:lang w:val="en-US"/>
        </w:rPr>
      </w:pPr>
      <w:r w:rsidRPr="0088517C">
        <w:rPr>
          <w:rFonts w:ascii="Arial" w:hAnsi="Arial" w:cs="Arial"/>
          <w:i/>
          <w:sz w:val="24"/>
          <w:szCs w:val="24"/>
          <w:lang w:val="en-US"/>
        </w:rPr>
        <w:t>R (on the application of Roberts) v The Commissioner of the Metropolitan Police [2012] EWHC 1977 (Admin)</w:t>
      </w:r>
    </w:p>
    <w:p w14:paraId="31169F06" w14:textId="77777777" w:rsidR="00234F2F" w:rsidRDefault="00234F2F" w:rsidP="00F91605">
      <w:pPr>
        <w:pStyle w:val="ListParagraph"/>
        <w:numPr>
          <w:ilvl w:val="0"/>
          <w:numId w:val="2"/>
        </w:numPr>
        <w:tabs>
          <w:tab w:val="left" w:pos="2703"/>
        </w:tabs>
        <w:spacing w:line="360" w:lineRule="auto"/>
        <w:ind w:left="1417"/>
        <w:rPr>
          <w:rFonts w:ascii="Arial" w:hAnsi="Arial" w:cs="Arial"/>
          <w:i/>
          <w:sz w:val="24"/>
          <w:szCs w:val="24"/>
          <w:lang w:val="en-US"/>
        </w:rPr>
      </w:pPr>
      <w:r w:rsidRPr="0088517C">
        <w:rPr>
          <w:rFonts w:ascii="Arial" w:hAnsi="Arial" w:cs="Arial"/>
          <w:i/>
          <w:sz w:val="24"/>
          <w:szCs w:val="24"/>
          <w:lang w:val="en-US"/>
        </w:rPr>
        <w:t>R (on the application of Roberts) v Commissioner of Police of the Metropolis and others [2014] All ER (D) 58</w:t>
      </w:r>
    </w:p>
    <w:p w14:paraId="4BDF81BF" w14:textId="77777777" w:rsidR="00014EA8" w:rsidRPr="0088517C" w:rsidRDefault="00014EA8" w:rsidP="00F91605">
      <w:pPr>
        <w:pStyle w:val="ListParagraph"/>
        <w:numPr>
          <w:ilvl w:val="0"/>
          <w:numId w:val="2"/>
        </w:numPr>
        <w:tabs>
          <w:tab w:val="left" w:pos="2703"/>
        </w:tabs>
        <w:spacing w:line="360" w:lineRule="auto"/>
        <w:ind w:left="1417"/>
        <w:rPr>
          <w:rFonts w:ascii="Arial" w:hAnsi="Arial" w:cs="Arial"/>
          <w:i/>
          <w:sz w:val="24"/>
          <w:szCs w:val="24"/>
          <w:lang w:val="en-US"/>
        </w:rPr>
      </w:pPr>
      <w:r w:rsidRPr="00014EA8">
        <w:rPr>
          <w:rFonts w:ascii="Arial" w:hAnsi="Arial" w:cs="Arial"/>
          <w:i/>
          <w:sz w:val="24"/>
          <w:szCs w:val="24"/>
        </w:rPr>
        <w:t>Secretary of State for the Home Department v Rehman [2001] UKHL 47</w:t>
      </w:r>
    </w:p>
    <w:p w14:paraId="58814AB0" w14:textId="77777777" w:rsidR="00F975A6" w:rsidRPr="0088517C" w:rsidRDefault="00F975A6" w:rsidP="00F91605">
      <w:pPr>
        <w:tabs>
          <w:tab w:val="left" w:pos="2703"/>
        </w:tabs>
        <w:spacing w:line="360" w:lineRule="auto"/>
        <w:ind w:left="1417"/>
        <w:rPr>
          <w:rFonts w:ascii="Arial" w:hAnsi="Arial" w:cs="Arial"/>
          <w:i/>
          <w:sz w:val="24"/>
          <w:szCs w:val="24"/>
          <w:lang w:val="en-US"/>
        </w:rPr>
      </w:pPr>
    </w:p>
    <w:p w14:paraId="731B14A8" w14:textId="77777777" w:rsidR="00F975A6" w:rsidRPr="0088517C" w:rsidRDefault="00F975A6" w:rsidP="00F91605">
      <w:pPr>
        <w:tabs>
          <w:tab w:val="left" w:pos="2703"/>
        </w:tabs>
        <w:spacing w:line="360" w:lineRule="auto"/>
        <w:ind w:left="1417"/>
        <w:rPr>
          <w:rFonts w:ascii="Arial" w:hAnsi="Arial" w:cs="Arial"/>
          <w:sz w:val="26"/>
          <w:szCs w:val="26"/>
          <w:lang w:val="en-US"/>
        </w:rPr>
      </w:pPr>
      <w:r w:rsidRPr="0088517C">
        <w:rPr>
          <w:rFonts w:ascii="Arial" w:hAnsi="Arial" w:cs="Arial"/>
          <w:sz w:val="26"/>
          <w:szCs w:val="26"/>
          <w:lang w:val="en-US"/>
        </w:rPr>
        <w:t>Journals:</w:t>
      </w:r>
    </w:p>
    <w:p w14:paraId="70F45F40" w14:textId="77777777" w:rsidR="00F975A6" w:rsidRPr="0088517C" w:rsidRDefault="00F975A6" w:rsidP="00F91605">
      <w:pPr>
        <w:pStyle w:val="ListParagraph"/>
        <w:numPr>
          <w:ilvl w:val="0"/>
          <w:numId w:val="3"/>
        </w:numPr>
        <w:spacing w:line="360" w:lineRule="auto"/>
        <w:ind w:left="1417"/>
        <w:rPr>
          <w:rFonts w:ascii="Arial" w:hAnsi="Arial" w:cs="Arial"/>
          <w:sz w:val="24"/>
          <w:szCs w:val="24"/>
        </w:rPr>
      </w:pPr>
      <w:r w:rsidRPr="0088517C">
        <w:rPr>
          <w:rFonts w:ascii="Arial" w:hAnsi="Arial" w:cs="Arial"/>
          <w:sz w:val="24"/>
          <w:szCs w:val="24"/>
          <w:lang w:val="en-US"/>
        </w:rPr>
        <w:t>B Bowling &amp; C Phillips</w:t>
      </w:r>
      <w:r w:rsidR="00ED2A6D" w:rsidRPr="0088517C">
        <w:rPr>
          <w:rFonts w:ascii="Arial" w:hAnsi="Arial" w:cs="Arial"/>
          <w:sz w:val="24"/>
          <w:szCs w:val="24"/>
          <w:lang w:val="en-US"/>
        </w:rPr>
        <w:t xml:space="preserve">, </w:t>
      </w:r>
      <w:r w:rsidRPr="0088517C">
        <w:rPr>
          <w:rFonts w:ascii="Arial" w:hAnsi="Arial" w:cs="Arial"/>
          <w:sz w:val="24"/>
          <w:szCs w:val="24"/>
          <w:lang w:val="en-US"/>
        </w:rPr>
        <w:t xml:space="preserve"> </w:t>
      </w:r>
      <w:r w:rsidR="00ED2A6D" w:rsidRPr="0088517C">
        <w:rPr>
          <w:rFonts w:ascii="Arial" w:hAnsi="Arial" w:cs="Arial"/>
          <w:sz w:val="24"/>
          <w:szCs w:val="24"/>
          <w:lang w:val="en-US"/>
        </w:rPr>
        <w:t>“</w:t>
      </w:r>
      <w:r w:rsidRPr="0088517C">
        <w:rPr>
          <w:rFonts w:ascii="Arial" w:hAnsi="Arial" w:cs="Arial"/>
          <w:sz w:val="24"/>
          <w:szCs w:val="24"/>
          <w:lang w:val="en-US"/>
        </w:rPr>
        <w:t>Disproportionate and Discriminatory: Reviewing the Evidence on Police Stop and Search</w:t>
      </w:r>
      <w:r w:rsidR="00ED2A6D" w:rsidRPr="0088517C">
        <w:rPr>
          <w:rFonts w:ascii="Arial" w:hAnsi="Arial" w:cs="Arial"/>
          <w:sz w:val="24"/>
          <w:szCs w:val="24"/>
          <w:lang w:val="en-US"/>
        </w:rPr>
        <w:t>”</w:t>
      </w:r>
      <w:r w:rsidRPr="0088517C">
        <w:rPr>
          <w:rFonts w:ascii="Arial" w:hAnsi="Arial" w:cs="Arial"/>
          <w:i/>
          <w:sz w:val="24"/>
          <w:szCs w:val="24"/>
          <w:lang w:val="en-US"/>
        </w:rPr>
        <w:t xml:space="preserve"> </w:t>
      </w:r>
      <w:r w:rsidRPr="0088517C">
        <w:rPr>
          <w:rFonts w:ascii="Arial" w:hAnsi="Arial" w:cs="Arial"/>
          <w:sz w:val="24"/>
          <w:szCs w:val="24"/>
          <w:lang w:val="en-US"/>
        </w:rPr>
        <w:t>(2007) 70 MLR 936</w:t>
      </w:r>
      <w:r w:rsidRPr="0088517C">
        <w:rPr>
          <w:rFonts w:ascii="Arial" w:hAnsi="Arial" w:cs="Arial"/>
          <w:sz w:val="24"/>
          <w:szCs w:val="24"/>
        </w:rPr>
        <w:t xml:space="preserve">  </w:t>
      </w:r>
    </w:p>
    <w:p w14:paraId="69F6FB94" w14:textId="77777777" w:rsidR="001813A8" w:rsidRDefault="003933DA" w:rsidP="00F91605">
      <w:pPr>
        <w:pStyle w:val="ListParagraph"/>
        <w:numPr>
          <w:ilvl w:val="0"/>
          <w:numId w:val="3"/>
        </w:numPr>
        <w:spacing w:line="360" w:lineRule="auto"/>
        <w:ind w:left="1417"/>
        <w:rPr>
          <w:rFonts w:ascii="Arial" w:hAnsi="Arial" w:cs="Arial"/>
          <w:sz w:val="24"/>
          <w:szCs w:val="24"/>
        </w:rPr>
      </w:pPr>
      <w:r>
        <w:rPr>
          <w:rFonts w:ascii="Arial" w:hAnsi="Arial" w:cs="Arial"/>
          <w:sz w:val="24"/>
          <w:szCs w:val="24"/>
        </w:rPr>
        <w:t>D Ellis, “Stop and search: Disproportionality, Discretion and G</w:t>
      </w:r>
      <w:r w:rsidR="001813A8" w:rsidRPr="0088517C">
        <w:rPr>
          <w:rFonts w:ascii="Arial" w:hAnsi="Arial" w:cs="Arial"/>
          <w:sz w:val="24"/>
          <w:szCs w:val="24"/>
        </w:rPr>
        <w:t xml:space="preserve">eneralisations” </w:t>
      </w:r>
      <w:r w:rsidR="00D72107">
        <w:rPr>
          <w:rFonts w:ascii="Arial" w:hAnsi="Arial" w:cs="Arial"/>
          <w:sz w:val="24"/>
          <w:szCs w:val="24"/>
        </w:rPr>
        <w:t xml:space="preserve">(2010) </w:t>
      </w:r>
      <w:r w:rsidR="001813A8" w:rsidRPr="0088517C">
        <w:rPr>
          <w:rFonts w:ascii="Arial" w:hAnsi="Arial" w:cs="Arial"/>
          <w:sz w:val="24"/>
          <w:szCs w:val="24"/>
        </w:rPr>
        <w:t>83(3) The Police Journal  199</w:t>
      </w:r>
    </w:p>
    <w:p w14:paraId="431E5B2B" w14:textId="77777777" w:rsidR="007E1168" w:rsidRDefault="007E1168" w:rsidP="007E1168">
      <w:pPr>
        <w:pStyle w:val="ListParagraph"/>
        <w:numPr>
          <w:ilvl w:val="0"/>
          <w:numId w:val="3"/>
        </w:numPr>
        <w:spacing w:line="360" w:lineRule="auto"/>
        <w:ind w:left="1417"/>
        <w:rPr>
          <w:rFonts w:ascii="Arial" w:hAnsi="Arial" w:cs="Arial"/>
          <w:sz w:val="24"/>
          <w:szCs w:val="24"/>
        </w:rPr>
      </w:pPr>
      <w:r w:rsidRPr="00186706">
        <w:rPr>
          <w:rFonts w:ascii="Arial" w:hAnsi="Arial" w:cs="Arial"/>
          <w:sz w:val="24"/>
          <w:szCs w:val="24"/>
        </w:rPr>
        <w:t>S J  Ellmann, “Racial Profiling and Terrorism”  (2003) 46 N.Y. Law School  Review 675 (</w:t>
      </w:r>
      <w:hyperlink r:id="rId10" w:anchor="706" w:history="1">
        <w:r w:rsidRPr="00186706">
          <w:rPr>
            <w:rStyle w:val="Hyperlink"/>
            <w:rFonts w:ascii="Arial" w:hAnsi="Arial" w:cs="Arial"/>
            <w:sz w:val="24"/>
            <w:szCs w:val="24"/>
          </w:rPr>
          <w:t>http://heinonline.org/HOL/Page?handle=hein.journals/nyls46&amp;div=42&amp;g_sent=1&amp;collection=journals#706</w:t>
        </w:r>
      </w:hyperlink>
      <w:r w:rsidRPr="00186706">
        <w:rPr>
          <w:rFonts w:ascii="Arial" w:hAnsi="Arial" w:cs="Arial"/>
          <w:sz w:val="24"/>
          <w:szCs w:val="24"/>
        </w:rPr>
        <w:t>)</w:t>
      </w:r>
    </w:p>
    <w:p w14:paraId="7E9C6ADE" w14:textId="77777777" w:rsidR="007E1168" w:rsidRPr="007E1168" w:rsidRDefault="007E1168" w:rsidP="007E1168">
      <w:pPr>
        <w:pStyle w:val="ListParagraph"/>
        <w:numPr>
          <w:ilvl w:val="0"/>
          <w:numId w:val="3"/>
        </w:numPr>
        <w:spacing w:line="360" w:lineRule="auto"/>
        <w:ind w:left="1417"/>
        <w:rPr>
          <w:rFonts w:ascii="Arial" w:hAnsi="Arial" w:cs="Arial"/>
          <w:sz w:val="24"/>
          <w:szCs w:val="24"/>
        </w:rPr>
      </w:pPr>
      <w:r w:rsidRPr="006D6409">
        <w:rPr>
          <w:rFonts w:ascii="Arial" w:hAnsi="Arial" w:cs="Arial"/>
          <w:sz w:val="24"/>
          <w:szCs w:val="24"/>
        </w:rPr>
        <w:t xml:space="preserve">D Feldman, </w:t>
      </w:r>
      <w:r>
        <w:rPr>
          <w:rFonts w:ascii="Arial" w:hAnsi="Arial" w:cs="Arial"/>
          <w:sz w:val="24"/>
          <w:szCs w:val="24"/>
        </w:rPr>
        <w:t>“</w:t>
      </w:r>
      <w:r w:rsidRPr="006D6409">
        <w:rPr>
          <w:rFonts w:ascii="Arial" w:hAnsi="Arial" w:cs="Arial"/>
          <w:sz w:val="24"/>
          <w:szCs w:val="24"/>
        </w:rPr>
        <w:t>Human rights, terrorism and risk: the roles of politicians and judges</w:t>
      </w:r>
      <w:r>
        <w:rPr>
          <w:rFonts w:ascii="Arial" w:hAnsi="Arial" w:cs="Arial"/>
          <w:sz w:val="24"/>
          <w:szCs w:val="24"/>
        </w:rPr>
        <w:t>” (2006) Public Law 364</w:t>
      </w:r>
    </w:p>
    <w:p w14:paraId="51BCB637" w14:textId="77777777" w:rsidR="00FA20A3" w:rsidRPr="00FA20A3" w:rsidRDefault="00FA20A3" w:rsidP="00FA20A3">
      <w:pPr>
        <w:pStyle w:val="ListParagraph"/>
        <w:numPr>
          <w:ilvl w:val="0"/>
          <w:numId w:val="3"/>
        </w:numPr>
        <w:spacing w:line="360" w:lineRule="auto"/>
        <w:ind w:left="1417"/>
        <w:rPr>
          <w:rFonts w:ascii="Arial" w:hAnsi="Arial" w:cs="Arial"/>
          <w:sz w:val="24"/>
          <w:szCs w:val="24"/>
        </w:rPr>
      </w:pPr>
      <w:r w:rsidRPr="0088517C">
        <w:rPr>
          <w:rFonts w:ascii="Arial" w:hAnsi="Arial" w:cs="Arial"/>
          <w:sz w:val="24"/>
          <w:szCs w:val="24"/>
        </w:rPr>
        <w:t>R N Kocsis, “Criminal Psychological Profiling: Validities and Abilities” (2003) 47(2) International Journal Offender Therapy and Comparative Criminology 126</w:t>
      </w:r>
    </w:p>
    <w:p w14:paraId="4FA747A7" w14:textId="77777777" w:rsidR="007E1168" w:rsidRPr="007E1168" w:rsidRDefault="007E1168" w:rsidP="007E1168">
      <w:pPr>
        <w:pStyle w:val="ListParagraph"/>
        <w:numPr>
          <w:ilvl w:val="0"/>
          <w:numId w:val="3"/>
        </w:numPr>
        <w:spacing w:line="360" w:lineRule="auto"/>
        <w:ind w:left="1417"/>
        <w:rPr>
          <w:rFonts w:ascii="Arial" w:hAnsi="Arial" w:cs="Arial"/>
          <w:sz w:val="24"/>
          <w:szCs w:val="24"/>
        </w:rPr>
      </w:pPr>
      <w:r>
        <w:rPr>
          <w:rFonts w:ascii="Arial" w:hAnsi="Arial" w:cs="Arial"/>
          <w:sz w:val="24"/>
          <w:szCs w:val="24"/>
        </w:rPr>
        <w:t>C Lerner</w:t>
      </w:r>
      <w:r w:rsidRPr="00EA5A64">
        <w:rPr>
          <w:rFonts w:ascii="Arial" w:hAnsi="Arial" w:cs="Arial"/>
          <w:sz w:val="24"/>
          <w:szCs w:val="24"/>
        </w:rPr>
        <w:t xml:space="preserve"> </w:t>
      </w:r>
      <w:r>
        <w:rPr>
          <w:rFonts w:ascii="Arial" w:hAnsi="Arial" w:cs="Arial"/>
          <w:sz w:val="24"/>
          <w:szCs w:val="24"/>
        </w:rPr>
        <w:t>“</w:t>
      </w:r>
      <w:r w:rsidRPr="00EA5A64">
        <w:rPr>
          <w:rFonts w:ascii="Arial" w:hAnsi="Arial" w:cs="Arial"/>
          <w:sz w:val="24"/>
          <w:szCs w:val="24"/>
        </w:rPr>
        <w:t>Reasonable Suspicion and Mere Hunches</w:t>
      </w:r>
      <w:r>
        <w:rPr>
          <w:rFonts w:ascii="Arial" w:hAnsi="Arial" w:cs="Arial"/>
          <w:sz w:val="24"/>
          <w:szCs w:val="24"/>
        </w:rPr>
        <w:t>” (2006) 59 (2) Vanderbilt Law Review 405</w:t>
      </w:r>
    </w:p>
    <w:p w14:paraId="5F74AC2E" w14:textId="77777777" w:rsidR="007E1168" w:rsidRPr="007E1168" w:rsidRDefault="007E1168" w:rsidP="007E1168">
      <w:pPr>
        <w:pStyle w:val="ListParagraph"/>
        <w:numPr>
          <w:ilvl w:val="0"/>
          <w:numId w:val="3"/>
        </w:numPr>
        <w:spacing w:line="360" w:lineRule="auto"/>
        <w:ind w:left="1417"/>
        <w:rPr>
          <w:rFonts w:ascii="Arial" w:hAnsi="Arial" w:cs="Arial"/>
          <w:sz w:val="24"/>
          <w:szCs w:val="24"/>
        </w:rPr>
      </w:pPr>
      <w:r w:rsidRPr="0088517C">
        <w:rPr>
          <w:rFonts w:ascii="Arial" w:hAnsi="Arial" w:cs="Arial"/>
          <w:sz w:val="24"/>
          <w:szCs w:val="24"/>
        </w:rPr>
        <w:lastRenderedPageBreak/>
        <w:t>D Moeckli “Stop and Search Under the Terrorism Act 2000: A Comment on R (Gillan) v Commissioner of Police for the Metropolis” (2007) 70(4) The Modern Law Review 659</w:t>
      </w:r>
    </w:p>
    <w:p w14:paraId="19FE4ABD" w14:textId="77777777" w:rsidR="00EA5A64" w:rsidRDefault="003C01AA" w:rsidP="00EA5A64">
      <w:pPr>
        <w:pStyle w:val="ListParagraph"/>
        <w:numPr>
          <w:ilvl w:val="0"/>
          <w:numId w:val="3"/>
        </w:numPr>
        <w:spacing w:line="360" w:lineRule="auto"/>
        <w:ind w:left="1417"/>
        <w:rPr>
          <w:rFonts w:ascii="Arial" w:hAnsi="Arial" w:cs="Arial"/>
          <w:sz w:val="24"/>
          <w:szCs w:val="24"/>
        </w:rPr>
      </w:pPr>
      <w:r w:rsidRPr="0088517C">
        <w:rPr>
          <w:rFonts w:ascii="Arial" w:hAnsi="Arial" w:cs="Arial"/>
          <w:sz w:val="24"/>
          <w:szCs w:val="24"/>
        </w:rPr>
        <w:t>B Muller-Wille,  “The Effect of International Terrorism on EU Intelligence Co-operation” (2008) 46 JCMS 49</w:t>
      </w:r>
    </w:p>
    <w:p w14:paraId="4B85E8F6" w14:textId="77777777" w:rsidR="00FA20A3" w:rsidRPr="00FA20A3" w:rsidRDefault="00FA20A3" w:rsidP="00FA20A3">
      <w:pPr>
        <w:pStyle w:val="ListParagraph"/>
        <w:numPr>
          <w:ilvl w:val="0"/>
          <w:numId w:val="3"/>
        </w:numPr>
        <w:spacing w:line="360" w:lineRule="auto"/>
        <w:ind w:left="1417"/>
        <w:rPr>
          <w:rFonts w:ascii="Arial" w:hAnsi="Arial" w:cs="Arial"/>
          <w:sz w:val="24"/>
          <w:szCs w:val="24"/>
        </w:rPr>
      </w:pPr>
      <w:r w:rsidRPr="0088517C">
        <w:rPr>
          <w:rFonts w:ascii="Arial" w:hAnsi="Arial" w:cs="Arial"/>
          <w:sz w:val="24"/>
          <w:szCs w:val="24"/>
        </w:rPr>
        <w:t>K Reid, “Race Issues and Stop and Search: Looking behind the Statistics” (2009) 73</w:t>
      </w:r>
      <w:r w:rsidR="00617649">
        <w:rPr>
          <w:rFonts w:ascii="Arial" w:hAnsi="Arial" w:cs="Arial"/>
          <w:sz w:val="24"/>
          <w:szCs w:val="24"/>
        </w:rPr>
        <w:t>(2) The Journal of Criminal Law</w:t>
      </w:r>
      <w:r w:rsidRPr="0088517C">
        <w:rPr>
          <w:rFonts w:ascii="Arial" w:hAnsi="Arial" w:cs="Arial"/>
          <w:sz w:val="24"/>
          <w:szCs w:val="24"/>
        </w:rPr>
        <w:t xml:space="preserve"> 165</w:t>
      </w:r>
    </w:p>
    <w:p w14:paraId="6B46F6F6" w14:textId="77777777" w:rsidR="007E1168" w:rsidRDefault="007E1168" w:rsidP="007E1168">
      <w:pPr>
        <w:pStyle w:val="ListParagraph"/>
        <w:numPr>
          <w:ilvl w:val="0"/>
          <w:numId w:val="3"/>
        </w:numPr>
        <w:spacing w:line="360" w:lineRule="auto"/>
        <w:ind w:left="1417"/>
        <w:rPr>
          <w:rFonts w:ascii="Arial" w:hAnsi="Arial" w:cs="Arial"/>
          <w:sz w:val="24"/>
          <w:szCs w:val="24"/>
        </w:rPr>
      </w:pPr>
      <w:r w:rsidRPr="0088517C">
        <w:rPr>
          <w:rFonts w:ascii="Arial" w:hAnsi="Arial" w:cs="Arial"/>
          <w:sz w:val="24"/>
          <w:szCs w:val="24"/>
        </w:rPr>
        <w:t>P. A. J. Waddington and others “In proportion: race, and police stop and search” (2004) 44 (6) British Journal of Criminology 889</w:t>
      </w:r>
    </w:p>
    <w:p w14:paraId="1C7D3427" w14:textId="77777777" w:rsidR="007E1168" w:rsidRPr="008960D4" w:rsidRDefault="007E1168" w:rsidP="008960D4">
      <w:pPr>
        <w:pStyle w:val="ListParagraph"/>
        <w:numPr>
          <w:ilvl w:val="0"/>
          <w:numId w:val="3"/>
        </w:numPr>
        <w:spacing w:line="360" w:lineRule="auto"/>
        <w:ind w:left="1417"/>
        <w:rPr>
          <w:rFonts w:ascii="Arial" w:hAnsi="Arial" w:cs="Arial"/>
          <w:sz w:val="24"/>
          <w:szCs w:val="24"/>
        </w:rPr>
      </w:pPr>
      <w:r w:rsidRPr="0088517C">
        <w:rPr>
          <w:rFonts w:ascii="Arial" w:hAnsi="Arial" w:cs="Arial"/>
          <w:sz w:val="24"/>
          <w:szCs w:val="24"/>
        </w:rPr>
        <w:t>C Warbrick “The European Response to Terrorism in an Age of Human Rights” (2004) 15(5) Eur J Int Law 989</w:t>
      </w:r>
    </w:p>
    <w:p w14:paraId="0A468E85" w14:textId="77777777" w:rsidR="00DD33CF" w:rsidRPr="006D6409" w:rsidRDefault="00DD33CF" w:rsidP="00DD33CF">
      <w:pPr>
        <w:pStyle w:val="ListParagraph"/>
        <w:spacing w:line="360" w:lineRule="auto"/>
        <w:ind w:left="1417"/>
        <w:rPr>
          <w:rFonts w:ascii="Arial" w:hAnsi="Arial" w:cs="Arial"/>
          <w:sz w:val="24"/>
          <w:szCs w:val="24"/>
        </w:rPr>
      </w:pPr>
    </w:p>
    <w:p w14:paraId="4FD62955" w14:textId="77777777" w:rsidR="0088517C" w:rsidRDefault="00DD33CF" w:rsidP="00DD33CF">
      <w:pPr>
        <w:spacing w:line="360" w:lineRule="auto"/>
        <w:ind w:left="1417"/>
        <w:rPr>
          <w:rFonts w:ascii="Arial" w:hAnsi="Arial" w:cs="Arial"/>
          <w:sz w:val="26"/>
          <w:szCs w:val="26"/>
        </w:rPr>
      </w:pPr>
      <w:r w:rsidRPr="00DD33CF">
        <w:rPr>
          <w:rFonts w:ascii="Arial" w:hAnsi="Arial" w:cs="Arial"/>
          <w:sz w:val="26"/>
          <w:szCs w:val="26"/>
        </w:rPr>
        <w:t>Halsbury’s Laws:</w:t>
      </w:r>
    </w:p>
    <w:p w14:paraId="65FC7160" w14:textId="77777777" w:rsidR="00335F37" w:rsidRDefault="00DD33CF" w:rsidP="00671AC7">
      <w:pPr>
        <w:pStyle w:val="ListParagraph"/>
        <w:numPr>
          <w:ilvl w:val="0"/>
          <w:numId w:val="25"/>
        </w:numPr>
        <w:spacing w:line="360" w:lineRule="auto"/>
        <w:ind w:left="1417"/>
        <w:rPr>
          <w:rFonts w:ascii="Arial" w:hAnsi="Arial" w:cs="Arial"/>
          <w:sz w:val="24"/>
          <w:szCs w:val="24"/>
        </w:rPr>
      </w:pPr>
      <w:r w:rsidRPr="00671AC7">
        <w:rPr>
          <w:rFonts w:ascii="Arial" w:hAnsi="Arial" w:cs="Arial"/>
          <w:sz w:val="24"/>
          <w:szCs w:val="24"/>
        </w:rPr>
        <w:t>Halsbury’s Laws of England (5th Edition, 2013) vol 88A, para 4(11) &lt;LexisLibrary&gt; accessed 12 April 2014</w:t>
      </w:r>
    </w:p>
    <w:p w14:paraId="2096655D" w14:textId="77777777" w:rsidR="00671AC7" w:rsidRPr="00671AC7" w:rsidRDefault="00671AC7" w:rsidP="00671AC7">
      <w:pPr>
        <w:pStyle w:val="ListParagraph"/>
        <w:spacing w:after="0" w:line="360" w:lineRule="auto"/>
        <w:ind w:left="1417"/>
        <w:rPr>
          <w:rFonts w:ascii="Arial" w:hAnsi="Arial" w:cs="Arial"/>
          <w:sz w:val="24"/>
          <w:szCs w:val="24"/>
        </w:rPr>
      </w:pPr>
    </w:p>
    <w:p w14:paraId="44BB736E" w14:textId="77777777" w:rsidR="001F3666" w:rsidRPr="0088517C" w:rsidRDefault="00581E78" w:rsidP="00F91605">
      <w:pPr>
        <w:spacing w:line="360" w:lineRule="auto"/>
        <w:ind w:left="1417"/>
        <w:rPr>
          <w:rFonts w:ascii="Arial" w:hAnsi="Arial" w:cs="Arial"/>
          <w:sz w:val="26"/>
          <w:szCs w:val="26"/>
        </w:rPr>
      </w:pPr>
      <w:r w:rsidRPr="0088517C">
        <w:rPr>
          <w:rFonts w:ascii="Arial" w:hAnsi="Arial" w:cs="Arial"/>
          <w:sz w:val="26"/>
          <w:szCs w:val="26"/>
        </w:rPr>
        <w:t>Textbook</w:t>
      </w:r>
      <w:r w:rsidR="00541B42">
        <w:rPr>
          <w:rFonts w:ascii="Arial" w:hAnsi="Arial" w:cs="Arial"/>
          <w:sz w:val="26"/>
          <w:szCs w:val="26"/>
        </w:rPr>
        <w:t>s</w:t>
      </w:r>
      <w:r w:rsidR="001F3666" w:rsidRPr="0088517C">
        <w:rPr>
          <w:rFonts w:ascii="Arial" w:hAnsi="Arial" w:cs="Arial"/>
          <w:sz w:val="26"/>
          <w:szCs w:val="26"/>
        </w:rPr>
        <w:t xml:space="preserve">: </w:t>
      </w:r>
    </w:p>
    <w:p w14:paraId="66482A36" w14:textId="77777777" w:rsidR="0088517C" w:rsidRDefault="001F3666" w:rsidP="0088517C">
      <w:pPr>
        <w:pStyle w:val="ListParagraph"/>
        <w:numPr>
          <w:ilvl w:val="0"/>
          <w:numId w:val="22"/>
        </w:numPr>
        <w:spacing w:line="360" w:lineRule="auto"/>
        <w:ind w:left="1417"/>
        <w:rPr>
          <w:rFonts w:ascii="Arial" w:hAnsi="Arial" w:cs="Arial"/>
          <w:sz w:val="24"/>
          <w:szCs w:val="24"/>
        </w:rPr>
      </w:pPr>
      <w:r w:rsidRPr="0088517C">
        <w:rPr>
          <w:rFonts w:ascii="Arial" w:hAnsi="Arial" w:cs="Arial"/>
          <w:sz w:val="24"/>
          <w:szCs w:val="24"/>
        </w:rPr>
        <w:t>C</w:t>
      </w:r>
      <w:r w:rsidR="00593BB0" w:rsidRPr="0088517C">
        <w:rPr>
          <w:rFonts w:ascii="Arial" w:hAnsi="Arial" w:cs="Arial"/>
          <w:sz w:val="24"/>
          <w:szCs w:val="24"/>
        </w:rPr>
        <w:t xml:space="preserve"> </w:t>
      </w:r>
      <w:r w:rsidRPr="0088517C">
        <w:rPr>
          <w:rFonts w:ascii="Arial" w:hAnsi="Arial" w:cs="Arial"/>
          <w:sz w:val="24"/>
          <w:szCs w:val="24"/>
        </w:rPr>
        <w:t>E</w:t>
      </w:r>
      <w:r w:rsidR="00593BB0" w:rsidRPr="0088517C">
        <w:rPr>
          <w:rFonts w:ascii="Arial" w:hAnsi="Arial" w:cs="Arial"/>
          <w:sz w:val="24"/>
          <w:szCs w:val="24"/>
        </w:rPr>
        <w:t>lliott</w:t>
      </w:r>
      <w:r w:rsidRPr="0088517C">
        <w:rPr>
          <w:rFonts w:ascii="Arial" w:hAnsi="Arial" w:cs="Arial"/>
          <w:sz w:val="24"/>
          <w:szCs w:val="24"/>
        </w:rPr>
        <w:t xml:space="preserve"> </w:t>
      </w:r>
      <w:r w:rsidR="00593BB0" w:rsidRPr="0088517C">
        <w:rPr>
          <w:rFonts w:ascii="Arial" w:hAnsi="Arial" w:cs="Arial"/>
          <w:sz w:val="24"/>
          <w:szCs w:val="24"/>
        </w:rPr>
        <w:t>&amp; F Quinn</w:t>
      </w:r>
      <w:r w:rsidR="00593BB0" w:rsidRPr="0088517C">
        <w:rPr>
          <w:rFonts w:ascii="Arial" w:hAnsi="Arial" w:cs="Arial"/>
          <w:i/>
          <w:sz w:val="24"/>
          <w:szCs w:val="24"/>
        </w:rPr>
        <w:t>,  English Legal System</w:t>
      </w:r>
      <w:r w:rsidR="00593BB0" w:rsidRPr="0088517C">
        <w:rPr>
          <w:rFonts w:ascii="Arial" w:hAnsi="Arial" w:cs="Arial"/>
          <w:sz w:val="24"/>
          <w:szCs w:val="24"/>
        </w:rPr>
        <w:t xml:space="preserve">  (</w:t>
      </w:r>
      <w:r w:rsidR="00862D26">
        <w:rPr>
          <w:rFonts w:ascii="Arial" w:hAnsi="Arial" w:cs="Arial"/>
          <w:sz w:val="24"/>
          <w:szCs w:val="24"/>
        </w:rPr>
        <w:t>11</w:t>
      </w:r>
      <w:r w:rsidR="00862D26" w:rsidRPr="00862D26">
        <w:rPr>
          <w:rFonts w:ascii="Arial" w:hAnsi="Arial" w:cs="Arial"/>
          <w:sz w:val="24"/>
          <w:szCs w:val="24"/>
          <w:vertAlign w:val="superscript"/>
        </w:rPr>
        <w:t>th</w:t>
      </w:r>
      <w:r w:rsidR="00862D26">
        <w:rPr>
          <w:rFonts w:ascii="Arial" w:hAnsi="Arial" w:cs="Arial"/>
          <w:sz w:val="24"/>
          <w:szCs w:val="24"/>
        </w:rPr>
        <w:t xml:space="preserve"> </w:t>
      </w:r>
      <w:r w:rsidRPr="0088517C">
        <w:rPr>
          <w:rFonts w:ascii="Arial" w:hAnsi="Arial" w:cs="Arial"/>
          <w:sz w:val="24"/>
          <w:szCs w:val="24"/>
        </w:rPr>
        <w:t>ed</w:t>
      </w:r>
      <w:r w:rsidR="00593BB0" w:rsidRPr="0088517C">
        <w:rPr>
          <w:rFonts w:ascii="Arial" w:hAnsi="Arial" w:cs="Arial"/>
          <w:sz w:val="24"/>
          <w:szCs w:val="24"/>
        </w:rPr>
        <w:t xml:space="preserve">ition, Pearson Education Ltd, Harlow, 2010) </w:t>
      </w:r>
    </w:p>
    <w:p w14:paraId="79883EFE" w14:textId="77777777" w:rsidR="00151F63" w:rsidRDefault="00151F63" w:rsidP="0088517C">
      <w:pPr>
        <w:pStyle w:val="ListParagraph"/>
        <w:numPr>
          <w:ilvl w:val="0"/>
          <w:numId w:val="22"/>
        </w:numPr>
        <w:spacing w:line="360" w:lineRule="auto"/>
        <w:ind w:left="1417"/>
        <w:rPr>
          <w:rFonts w:ascii="Arial" w:hAnsi="Arial" w:cs="Arial"/>
          <w:sz w:val="24"/>
          <w:szCs w:val="24"/>
        </w:rPr>
      </w:pPr>
      <w:r w:rsidRPr="00151F63">
        <w:rPr>
          <w:rFonts w:ascii="Arial" w:hAnsi="Arial" w:cs="Arial"/>
          <w:sz w:val="24"/>
          <w:szCs w:val="24"/>
          <w:lang w:val="en-US"/>
        </w:rPr>
        <w:t xml:space="preserve">R. Stone, </w:t>
      </w:r>
      <w:r w:rsidRPr="00151F63">
        <w:rPr>
          <w:rFonts w:ascii="Arial" w:hAnsi="Arial" w:cs="Arial"/>
          <w:i/>
          <w:iCs/>
          <w:sz w:val="24"/>
          <w:szCs w:val="24"/>
          <w:lang w:val="en-US"/>
        </w:rPr>
        <w:t>Text</w:t>
      </w:r>
      <w:r w:rsidR="00862D26">
        <w:rPr>
          <w:rFonts w:ascii="Arial" w:hAnsi="Arial" w:cs="Arial"/>
          <w:i/>
          <w:iCs/>
          <w:sz w:val="24"/>
          <w:szCs w:val="24"/>
          <w:lang w:val="en-US"/>
        </w:rPr>
        <w:t>book on Civil Liberties and Hum</w:t>
      </w:r>
      <w:r w:rsidRPr="00151F63">
        <w:rPr>
          <w:rFonts w:ascii="Arial" w:hAnsi="Arial" w:cs="Arial"/>
          <w:i/>
          <w:iCs/>
          <w:sz w:val="24"/>
          <w:szCs w:val="24"/>
          <w:lang w:val="en-US"/>
        </w:rPr>
        <w:t xml:space="preserve">an Rights </w:t>
      </w:r>
      <w:r w:rsidRPr="00151F63">
        <w:rPr>
          <w:rFonts w:ascii="Arial" w:hAnsi="Arial" w:cs="Arial"/>
          <w:sz w:val="24"/>
          <w:szCs w:val="24"/>
          <w:lang w:val="en-US"/>
        </w:rPr>
        <w:t>(</w:t>
      </w:r>
      <w:r w:rsidR="00862D26">
        <w:rPr>
          <w:rFonts w:ascii="Arial" w:hAnsi="Arial" w:cs="Arial"/>
          <w:sz w:val="24"/>
          <w:szCs w:val="24"/>
          <w:lang w:val="en-US"/>
        </w:rPr>
        <w:t>6</w:t>
      </w:r>
      <w:r w:rsidR="00862D26" w:rsidRPr="00862D26">
        <w:rPr>
          <w:rFonts w:ascii="Arial" w:hAnsi="Arial" w:cs="Arial"/>
          <w:sz w:val="24"/>
          <w:szCs w:val="24"/>
          <w:vertAlign w:val="superscript"/>
          <w:lang w:val="en-US"/>
        </w:rPr>
        <w:t>th</w:t>
      </w:r>
      <w:r w:rsidR="00862D26">
        <w:rPr>
          <w:rFonts w:ascii="Arial" w:hAnsi="Arial" w:cs="Arial"/>
          <w:sz w:val="24"/>
          <w:szCs w:val="24"/>
          <w:lang w:val="en-US"/>
        </w:rPr>
        <w:t xml:space="preserve"> edition,</w:t>
      </w:r>
      <w:r w:rsidR="00862D26" w:rsidRPr="00862D26">
        <w:rPr>
          <w:rFonts w:ascii="Arial" w:hAnsi="Arial" w:cs="Arial"/>
          <w:sz w:val="24"/>
          <w:szCs w:val="24"/>
          <w:lang w:val="en-US"/>
        </w:rPr>
        <w:t xml:space="preserve"> </w:t>
      </w:r>
      <w:r w:rsidR="00862D26" w:rsidRPr="00151F63">
        <w:rPr>
          <w:rFonts w:ascii="Arial" w:hAnsi="Arial" w:cs="Arial"/>
          <w:sz w:val="24"/>
          <w:szCs w:val="24"/>
          <w:lang w:val="en-US"/>
        </w:rPr>
        <w:t>O</w:t>
      </w:r>
      <w:r w:rsidR="00862D26">
        <w:rPr>
          <w:rFonts w:ascii="Arial" w:hAnsi="Arial" w:cs="Arial"/>
          <w:sz w:val="24"/>
          <w:szCs w:val="24"/>
          <w:lang w:val="en-US"/>
        </w:rPr>
        <w:t xml:space="preserve">xford University Press, </w:t>
      </w:r>
      <w:r w:rsidRPr="00151F63">
        <w:rPr>
          <w:rFonts w:ascii="Arial" w:hAnsi="Arial" w:cs="Arial"/>
          <w:sz w:val="24"/>
          <w:szCs w:val="24"/>
          <w:lang w:val="en-US"/>
        </w:rPr>
        <w:t>Oxford: 2006)</w:t>
      </w:r>
    </w:p>
    <w:p w14:paraId="7AE58D42" w14:textId="77777777" w:rsidR="008B23BB" w:rsidRPr="00EC32B7" w:rsidRDefault="008B23BB" w:rsidP="00EC32B7">
      <w:pPr>
        <w:spacing w:line="360" w:lineRule="auto"/>
        <w:rPr>
          <w:rFonts w:ascii="Arial" w:hAnsi="Arial" w:cs="Arial"/>
          <w:sz w:val="24"/>
          <w:szCs w:val="24"/>
        </w:rPr>
      </w:pPr>
    </w:p>
    <w:p w14:paraId="536907E6" w14:textId="77777777" w:rsidR="005D147D" w:rsidRDefault="00416B6E" w:rsidP="005D147D">
      <w:pPr>
        <w:pStyle w:val="ListParagraph"/>
        <w:spacing w:line="360" w:lineRule="auto"/>
        <w:ind w:left="1417"/>
        <w:rPr>
          <w:rFonts w:ascii="Arial" w:hAnsi="Arial" w:cs="Arial"/>
          <w:sz w:val="26"/>
          <w:szCs w:val="26"/>
        </w:rPr>
      </w:pPr>
      <w:r w:rsidRPr="008B23BB">
        <w:rPr>
          <w:rFonts w:ascii="Arial" w:hAnsi="Arial" w:cs="Arial"/>
          <w:sz w:val="26"/>
          <w:szCs w:val="26"/>
        </w:rPr>
        <w:t xml:space="preserve">Government Publications: </w:t>
      </w:r>
    </w:p>
    <w:p w14:paraId="7F60E42F" w14:textId="77777777" w:rsidR="00895BCE" w:rsidRPr="00895BCE" w:rsidRDefault="00895BCE" w:rsidP="00895BCE">
      <w:pPr>
        <w:pStyle w:val="ListParagraph"/>
        <w:numPr>
          <w:ilvl w:val="0"/>
          <w:numId w:val="23"/>
        </w:numPr>
        <w:spacing w:line="360" w:lineRule="auto"/>
        <w:ind w:left="1417"/>
        <w:rPr>
          <w:rFonts w:ascii="Arial" w:hAnsi="Arial" w:cs="Arial"/>
          <w:sz w:val="24"/>
          <w:szCs w:val="24"/>
        </w:rPr>
      </w:pPr>
      <w:r w:rsidRPr="00F56979">
        <w:rPr>
          <w:rFonts w:ascii="Arial" w:hAnsi="Arial" w:cs="Arial"/>
          <w:sz w:val="24"/>
          <w:szCs w:val="24"/>
        </w:rPr>
        <w:t>N Bland, J Miller, P Quinton (2000) Upping the PACE? An Evaluation of the Stephen Lawrence Inquiry on Stops and Searches Police Research Series Pap</w:t>
      </w:r>
      <w:r>
        <w:rPr>
          <w:rFonts w:ascii="Arial" w:hAnsi="Arial" w:cs="Arial"/>
          <w:sz w:val="24"/>
          <w:szCs w:val="24"/>
        </w:rPr>
        <w:t>er No. 128. London: Home Office</w:t>
      </w:r>
    </w:p>
    <w:p w14:paraId="431ED2EA" w14:textId="77777777" w:rsidR="005D147D" w:rsidRPr="005D147D" w:rsidRDefault="005D147D" w:rsidP="00B706BD">
      <w:pPr>
        <w:pStyle w:val="ListParagraph"/>
        <w:numPr>
          <w:ilvl w:val="0"/>
          <w:numId w:val="23"/>
        </w:numPr>
        <w:spacing w:line="360" w:lineRule="auto"/>
        <w:ind w:left="1417"/>
        <w:rPr>
          <w:rFonts w:ascii="Arial" w:hAnsi="Arial" w:cs="Arial"/>
          <w:sz w:val="26"/>
          <w:szCs w:val="26"/>
        </w:rPr>
      </w:pPr>
      <w:r w:rsidRPr="005D147D">
        <w:rPr>
          <w:rFonts w:ascii="Arial" w:hAnsi="Arial" w:cs="Arial"/>
          <w:sz w:val="24"/>
          <w:szCs w:val="24"/>
        </w:rPr>
        <w:t>Fitzgerald, M. (1999) Final Report into Stop and Search. London: Metropolitan Police Service.</w:t>
      </w:r>
    </w:p>
    <w:p w14:paraId="108E2DF5" w14:textId="77777777" w:rsidR="00EF3FB6" w:rsidRDefault="007E2923" w:rsidP="00B706BD">
      <w:pPr>
        <w:pStyle w:val="ListParagraph"/>
        <w:numPr>
          <w:ilvl w:val="0"/>
          <w:numId w:val="23"/>
        </w:numPr>
        <w:spacing w:line="360" w:lineRule="auto"/>
        <w:ind w:left="1417"/>
        <w:rPr>
          <w:rFonts w:ascii="Arial" w:hAnsi="Arial" w:cs="Arial"/>
          <w:sz w:val="24"/>
          <w:szCs w:val="24"/>
        </w:rPr>
      </w:pPr>
      <w:r w:rsidRPr="007E2923">
        <w:rPr>
          <w:rFonts w:ascii="Arial" w:hAnsi="Arial" w:cs="Arial"/>
          <w:sz w:val="24"/>
          <w:szCs w:val="24"/>
        </w:rPr>
        <w:t>Home Office, Code of Practice for the Exercise by Police Officers of Statutory Powers of Stop and Search, Code A (London: Home Office, 2005)</w:t>
      </w:r>
    </w:p>
    <w:p w14:paraId="3985C667" w14:textId="77777777" w:rsidR="004D511D" w:rsidRDefault="004D511D" w:rsidP="00B706BD">
      <w:pPr>
        <w:pStyle w:val="ListParagraph"/>
        <w:numPr>
          <w:ilvl w:val="0"/>
          <w:numId w:val="23"/>
        </w:numPr>
        <w:spacing w:line="360" w:lineRule="auto"/>
        <w:ind w:left="1417"/>
        <w:rPr>
          <w:rFonts w:ascii="Arial" w:hAnsi="Arial" w:cs="Arial"/>
          <w:sz w:val="24"/>
          <w:szCs w:val="24"/>
        </w:rPr>
      </w:pPr>
      <w:r w:rsidRPr="004D511D">
        <w:rPr>
          <w:rFonts w:ascii="Arial" w:hAnsi="Arial" w:cs="Arial"/>
          <w:sz w:val="24"/>
          <w:szCs w:val="24"/>
        </w:rPr>
        <w:lastRenderedPageBreak/>
        <w:t>Home Office, Statistics on Race and the Criminal J</w:t>
      </w:r>
      <w:r>
        <w:rPr>
          <w:rFonts w:ascii="Arial" w:hAnsi="Arial" w:cs="Arial"/>
          <w:sz w:val="24"/>
          <w:szCs w:val="24"/>
        </w:rPr>
        <w:t>ustice System - 2004 (2005), 35</w:t>
      </w:r>
    </w:p>
    <w:p w14:paraId="5C19324F" w14:textId="77777777" w:rsidR="00962A46" w:rsidRDefault="00EF3FB6" w:rsidP="00B706BD">
      <w:pPr>
        <w:pStyle w:val="ListParagraph"/>
        <w:numPr>
          <w:ilvl w:val="0"/>
          <w:numId w:val="23"/>
        </w:numPr>
        <w:spacing w:line="360" w:lineRule="auto"/>
        <w:ind w:left="1417"/>
        <w:rPr>
          <w:rFonts w:ascii="Arial" w:hAnsi="Arial" w:cs="Arial"/>
          <w:sz w:val="24"/>
          <w:szCs w:val="24"/>
        </w:rPr>
      </w:pPr>
      <w:r w:rsidRPr="00EF3FB6">
        <w:rPr>
          <w:rFonts w:ascii="Arial" w:hAnsi="Arial" w:cs="Arial"/>
          <w:sz w:val="24"/>
          <w:szCs w:val="24"/>
        </w:rPr>
        <w:t>House of Commons Home Affairs Committee, Fourth Report of Session 2005-06: Terrorism Detention Powers HC 910-1/54</w:t>
      </w:r>
    </w:p>
    <w:p w14:paraId="4DABF92F" w14:textId="77777777" w:rsidR="00E8211C" w:rsidRDefault="00E8211C" w:rsidP="00B706BD">
      <w:pPr>
        <w:pStyle w:val="ListParagraph"/>
        <w:numPr>
          <w:ilvl w:val="0"/>
          <w:numId w:val="23"/>
        </w:numPr>
        <w:spacing w:line="360" w:lineRule="auto"/>
        <w:ind w:left="1417"/>
        <w:rPr>
          <w:rFonts w:ascii="Arial" w:hAnsi="Arial" w:cs="Arial"/>
          <w:sz w:val="24"/>
          <w:szCs w:val="24"/>
        </w:rPr>
      </w:pPr>
      <w:r>
        <w:rPr>
          <w:rFonts w:ascii="Arial" w:hAnsi="Arial" w:cs="Arial"/>
          <w:sz w:val="24"/>
          <w:szCs w:val="24"/>
        </w:rPr>
        <w:t xml:space="preserve">House of Commons Deb, </w:t>
      </w:r>
      <w:r w:rsidR="003A44D3">
        <w:rPr>
          <w:rFonts w:ascii="Arial" w:hAnsi="Arial" w:cs="Arial"/>
          <w:sz w:val="24"/>
          <w:szCs w:val="24"/>
        </w:rPr>
        <w:t>10 May 2012, Column 9WS</w:t>
      </w:r>
    </w:p>
    <w:p w14:paraId="59835CE9" w14:textId="77777777" w:rsidR="00962A46" w:rsidRPr="00F56979" w:rsidRDefault="00962A46" w:rsidP="00B706BD">
      <w:pPr>
        <w:pStyle w:val="ListParagraph"/>
        <w:numPr>
          <w:ilvl w:val="0"/>
          <w:numId w:val="23"/>
        </w:numPr>
        <w:spacing w:line="360" w:lineRule="auto"/>
        <w:ind w:left="1417"/>
        <w:rPr>
          <w:rFonts w:ascii="Arial" w:hAnsi="Arial" w:cs="Arial"/>
          <w:sz w:val="24"/>
          <w:szCs w:val="24"/>
        </w:rPr>
      </w:pPr>
      <w:r w:rsidRPr="00962A46">
        <w:rPr>
          <w:rFonts w:ascii="Arial" w:hAnsi="Arial" w:cs="Arial"/>
          <w:sz w:val="24"/>
          <w:szCs w:val="24"/>
        </w:rPr>
        <w:t xml:space="preserve">J Miller, N Bland, P Quinton, (2000) The Impact of Stops and Searches on Crime and the Community, Police Research Series Paper 127 London: </w:t>
      </w:r>
      <w:r w:rsidRPr="00F56979">
        <w:rPr>
          <w:rFonts w:ascii="Arial" w:hAnsi="Arial" w:cs="Arial"/>
          <w:sz w:val="24"/>
          <w:szCs w:val="24"/>
        </w:rPr>
        <w:t>Home Office</w:t>
      </w:r>
    </w:p>
    <w:p w14:paraId="1F903282" w14:textId="77777777" w:rsidR="00076751" w:rsidRPr="00076751" w:rsidRDefault="00076751" w:rsidP="00076751">
      <w:pPr>
        <w:pStyle w:val="ListParagraph"/>
        <w:numPr>
          <w:ilvl w:val="0"/>
          <w:numId w:val="23"/>
        </w:numPr>
        <w:spacing w:line="360" w:lineRule="auto"/>
        <w:ind w:left="1417"/>
        <w:rPr>
          <w:rFonts w:ascii="Arial" w:hAnsi="Arial" w:cs="Arial"/>
          <w:sz w:val="24"/>
          <w:szCs w:val="24"/>
        </w:rPr>
      </w:pPr>
      <w:r w:rsidRPr="00F56979">
        <w:rPr>
          <w:rFonts w:ascii="Arial" w:hAnsi="Arial" w:cs="Arial"/>
          <w:sz w:val="24"/>
          <w:szCs w:val="24"/>
        </w:rPr>
        <w:t>W Macpherson, The Stephen Lawrence Inquiry, Report of an Inquiry by Sir William Macpherson of Cluny (London: Home Office, 1999)</w:t>
      </w:r>
    </w:p>
    <w:p w14:paraId="79EE7339" w14:textId="77777777" w:rsidR="00B706BD" w:rsidRDefault="00DC2536" w:rsidP="00A53461">
      <w:pPr>
        <w:pStyle w:val="NormalWeb"/>
        <w:tabs>
          <w:tab w:val="left" w:pos="1646"/>
        </w:tabs>
        <w:ind w:left="1417"/>
        <w:rPr>
          <w:rFonts w:ascii="Arial" w:hAnsi="Arial" w:cs="Arial"/>
          <w:sz w:val="26"/>
          <w:szCs w:val="26"/>
          <w:lang w:val="en-US"/>
        </w:rPr>
      </w:pPr>
      <w:r w:rsidRPr="00B706BD">
        <w:rPr>
          <w:rFonts w:ascii="Arial" w:hAnsi="Arial" w:cs="Arial"/>
          <w:sz w:val="26"/>
          <w:szCs w:val="26"/>
          <w:lang w:val="en-US"/>
        </w:rPr>
        <w:tab/>
      </w:r>
      <w:r w:rsidR="00B706BD" w:rsidRPr="00B706BD">
        <w:rPr>
          <w:rFonts w:ascii="Arial" w:hAnsi="Arial" w:cs="Arial"/>
          <w:sz w:val="26"/>
          <w:szCs w:val="26"/>
          <w:lang w:val="en-US"/>
        </w:rPr>
        <w:t>Newspaper:</w:t>
      </w:r>
    </w:p>
    <w:p w14:paraId="4BC75548" w14:textId="77777777" w:rsidR="00B706BD" w:rsidRPr="00B706BD" w:rsidRDefault="00B706BD" w:rsidP="00A53461">
      <w:pPr>
        <w:pStyle w:val="NormalWeb"/>
        <w:numPr>
          <w:ilvl w:val="0"/>
          <w:numId w:val="27"/>
        </w:numPr>
        <w:tabs>
          <w:tab w:val="left" w:pos="1646"/>
        </w:tabs>
        <w:ind w:left="1417"/>
        <w:rPr>
          <w:rFonts w:ascii="Arial" w:hAnsi="Arial" w:cs="Arial"/>
          <w:sz w:val="26"/>
          <w:szCs w:val="26"/>
          <w:lang w:val="en-US"/>
        </w:rPr>
      </w:pPr>
      <w:r>
        <w:rPr>
          <w:rFonts w:ascii="Arial" w:hAnsi="Arial" w:cs="Arial"/>
          <w:sz w:val="26"/>
          <w:szCs w:val="26"/>
          <w:lang w:val="en-US"/>
        </w:rPr>
        <w:t xml:space="preserve"> Vikram Dodd, “</w:t>
      </w:r>
      <w:r w:rsidRPr="00B706BD">
        <w:rPr>
          <w:rFonts w:ascii="Arial" w:hAnsi="Arial" w:cs="Arial"/>
          <w:sz w:val="26"/>
          <w:szCs w:val="26"/>
          <w:lang w:val="en-US"/>
        </w:rPr>
        <w:t>Asian men targeted in stop and search</w:t>
      </w:r>
      <w:r>
        <w:rPr>
          <w:rFonts w:ascii="Arial" w:hAnsi="Arial" w:cs="Arial"/>
          <w:sz w:val="26"/>
          <w:szCs w:val="26"/>
          <w:lang w:val="en-US"/>
        </w:rPr>
        <w:t xml:space="preserve">” </w:t>
      </w:r>
      <w:r w:rsidRPr="00B706BD">
        <w:rPr>
          <w:rFonts w:ascii="Arial" w:hAnsi="Arial" w:cs="Arial"/>
          <w:i/>
          <w:sz w:val="26"/>
          <w:szCs w:val="26"/>
          <w:lang w:val="en-US"/>
        </w:rPr>
        <w:t>The Guardian</w:t>
      </w:r>
      <w:r>
        <w:rPr>
          <w:rFonts w:ascii="Arial" w:hAnsi="Arial" w:cs="Arial"/>
          <w:sz w:val="26"/>
          <w:szCs w:val="26"/>
          <w:lang w:val="en-US"/>
        </w:rPr>
        <w:t xml:space="preserve"> (17 August 2005)</w:t>
      </w:r>
      <w:r w:rsidR="00A53461">
        <w:rPr>
          <w:rFonts w:ascii="Arial" w:hAnsi="Arial" w:cs="Arial"/>
          <w:sz w:val="26"/>
          <w:szCs w:val="26"/>
          <w:lang w:val="en-US"/>
        </w:rPr>
        <w:t xml:space="preserve"> </w:t>
      </w:r>
      <w:hyperlink r:id="rId11" w:history="1">
        <w:r w:rsidR="00A53461" w:rsidRPr="00D4402F">
          <w:rPr>
            <w:rStyle w:val="Hyperlink"/>
            <w:rFonts w:ascii="Arial" w:hAnsi="Arial" w:cs="Arial"/>
            <w:sz w:val="26"/>
            <w:szCs w:val="26"/>
            <w:lang w:val="en-US"/>
          </w:rPr>
          <w:t>http://www.theguardian.com/uk/2005/aug/17/race.july7</w:t>
        </w:r>
      </w:hyperlink>
      <w:r w:rsidR="00A53461">
        <w:rPr>
          <w:rFonts w:ascii="Arial" w:hAnsi="Arial" w:cs="Arial"/>
          <w:sz w:val="26"/>
          <w:szCs w:val="26"/>
          <w:lang w:val="en-US"/>
        </w:rPr>
        <w:t xml:space="preserve"> </w:t>
      </w:r>
    </w:p>
    <w:p w14:paraId="391F837F" w14:textId="77777777" w:rsidR="00234F2F" w:rsidRDefault="00234F2F" w:rsidP="005D147D">
      <w:pPr>
        <w:ind w:left="1417"/>
        <w:rPr>
          <w:sz w:val="26"/>
          <w:szCs w:val="26"/>
        </w:rPr>
      </w:pPr>
    </w:p>
    <w:p w14:paraId="09047EE6" w14:textId="77777777" w:rsidR="00C9558E" w:rsidRDefault="00C9558E" w:rsidP="005D147D">
      <w:pPr>
        <w:ind w:left="1417"/>
        <w:rPr>
          <w:sz w:val="26"/>
          <w:szCs w:val="26"/>
        </w:rPr>
      </w:pPr>
    </w:p>
    <w:p w14:paraId="0C84F647" w14:textId="77777777" w:rsidR="00C9558E" w:rsidRDefault="00C9558E" w:rsidP="007A68E1">
      <w:pPr>
        <w:ind w:left="1417" w:firstLine="708"/>
        <w:rPr>
          <w:sz w:val="26"/>
          <w:szCs w:val="26"/>
        </w:rPr>
      </w:pPr>
    </w:p>
    <w:p w14:paraId="63E8C886" w14:textId="77777777" w:rsidR="00BD26AA" w:rsidRPr="00BD26AA" w:rsidRDefault="00BD26AA" w:rsidP="007A68E1">
      <w:pPr>
        <w:ind w:left="1417" w:firstLine="708"/>
        <w:rPr>
          <w:rFonts w:ascii="Arial" w:hAnsi="Arial" w:cs="Arial"/>
          <w:sz w:val="32"/>
          <w:szCs w:val="32"/>
        </w:rPr>
      </w:pPr>
    </w:p>
    <w:p w14:paraId="7461A880" w14:textId="77777777" w:rsidR="00234E59" w:rsidRDefault="00234E59" w:rsidP="002F7897">
      <w:pPr>
        <w:jc w:val="center"/>
        <w:rPr>
          <w:rFonts w:ascii="Arial" w:hAnsi="Arial" w:cs="Arial"/>
          <w:sz w:val="32"/>
          <w:szCs w:val="32"/>
        </w:rPr>
      </w:pPr>
    </w:p>
    <w:p w14:paraId="618A1EF3" w14:textId="77777777" w:rsidR="00234E59" w:rsidRDefault="00234E59" w:rsidP="002F7897">
      <w:pPr>
        <w:jc w:val="center"/>
        <w:rPr>
          <w:rFonts w:ascii="Arial" w:hAnsi="Arial" w:cs="Arial"/>
          <w:sz w:val="32"/>
          <w:szCs w:val="32"/>
        </w:rPr>
      </w:pPr>
    </w:p>
    <w:p w14:paraId="0AD23236" w14:textId="77777777" w:rsidR="00234E59" w:rsidRDefault="00234E59" w:rsidP="002F7897">
      <w:pPr>
        <w:jc w:val="center"/>
        <w:rPr>
          <w:rFonts w:ascii="Arial" w:hAnsi="Arial" w:cs="Arial"/>
          <w:sz w:val="32"/>
          <w:szCs w:val="32"/>
        </w:rPr>
      </w:pPr>
    </w:p>
    <w:p w14:paraId="3CDD049B" w14:textId="77777777" w:rsidR="00234E59" w:rsidRDefault="00234E59" w:rsidP="002F7897">
      <w:pPr>
        <w:jc w:val="center"/>
        <w:rPr>
          <w:rFonts w:ascii="Arial" w:hAnsi="Arial" w:cs="Arial"/>
          <w:sz w:val="32"/>
          <w:szCs w:val="32"/>
        </w:rPr>
      </w:pPr>
    </w:p>
    <w:p w14:paraId="060670A0" w14:textId="77777777" w:rsidR="00C9558E" w:rsidRDefault="00B95FF8" w:rsidP="002F7897">
      <w:pPr>
        <w:jc w:val="center"/>
        <w:rPr>
          <w:rFonts w:ascii="Arial" w:hAnsi="Arial" w:cs="Arial"/>
          <w:sz w:val="32"/>
          <w:szCs w:val="32"/>
        </w:rPr>
      </w:pPr>
      <w:r>
        <w:rPr>
          <w:rFonts w:ascii="Arial" w:hAnsi="Arial" w:cs="Arial"/>
          <w:sz w:val="32"/>
          <w:szCs w:val="32"/>
        </w:rPr>
        <w:t>RESEARCH TRAIL</w:t>
      </w:r>
    </w:p>
    <w:p w14:paraId="401B5416" w14:textId="77777777" w:rsidR="002F7897" w:rsidRDefault="002F7897" w:rsidP="00B95FF8">
      <w:pPr>
        <w:ind w:left="1417"/>
        <w:jc w:val="center"/>
        <w:rPr>
          <w:rFonts w:ascii="Arial" w:hAnsi="Arial" w:cs="Arial"/>
          <w:sz w:val="32"/>
          <w:szCs w:val="32"/>
        </w:rPr>
      </w:pPr>
    </w:p>
    <w:tbl>
      <w:tblPr>
        <w:tblStyle w:val="GridTableLight"/>
        <w:tblW w:w="0" w:type="auto"/>
        <w:tblLook w:val="04A0" w:firstRow="1" w:lastRow="0" w:firstColumn="1" w:lastColumn="0" w:noHBand="0" w:noVBand="1"/>
      </w:tblPr>
      <w:tblGrid>
        <w:gridCol w:w="1983"/>
        <w:gridCol w:w="2602"/>
        <w:gridCol w:w="2543"/>
        <w:gridCol w:w="2500"/>
      </w:tblGrid>
      <w:tr w:rsidR="002F7897" w14:paraId="7E4E115E" w14:textId="77777777" w:rsidTr="002F7897">
        <w:trPr>
          <w:trHeight w:val="548"/>
        </w:trPr>
        <w:tc>
          <w:tcPr>
            <w:tcW w:w="1983" w:type="dxa"/>
          </w:tcPr>
          <w:p w14:paraId="73759F0A" w14:textId="77777777" w:rsidR="00D011EC" w:rsidRDefault="002F7897" w:rsidP="00B95FF8">
            <w:pPr>
              <w:rPr>
                <w:rFonts w:ascii="Arial" w:hAnsi="Arial" w:cs="Arial"/>
                <w:b/>
                <w:sz w:val="32"/>
                <w:szCs w:val="32"/>
              </w:rPr>
            </w:pPr>
            <w:r w:rsidRPr="002F7897">
              <w:rPr>
                <w:rFonts w:ascii="Arial" w:hAnsi="Arial" w:cs="Arial"/>
                <w:b/>
                <w:sz w:val="32"/>
                <w:szCs w:val="32"/>
              </w:rPr>
              <w:t>Legislation</w:t>
            </w:r>
          </w:p>
          <w:p w14:paraId="026334AE" w14:textId="77777777" w:rsidR="002F7897" w:rsidRPr="002F7897" w:rsidRDefault="00D011EC" w:rsidP="00D011EC">
            <w:pPr>
              <w:jc w:val="center"/>
              <w:rPr>
                <w:rFonts w:ascii="Arial" w:hAnsi="Arial" w:cs="Arial"/>
                <w:b/>
                <w:sz w:val="32"/>
                <w:szCs w:val="32"/>
              </w:rPr>
            </w:pPr>
            <w:r>
              <w:rPr>
                <w:rFonts w:ascii="Arial" w:hAnsi="Arial" w:cs="Arial"/>
                <w:b/>
                <w:sz w:val="24"/>
                <w:szCs w:val="24"/>
              </w:rPr>
              <w:t>(primary source)</w:t>
            </w:r>
          </w:p>
        </w:tc>
        <w:tc>
          <w:tcPr>
            <w:tcW w:w="2602" w:type="dxa"/>
          </w:tcPr>
          <w:p w14:paraId="32E89602" w14:textId="77777777" w:rsidR="002F7897" w:rsidRDefault="002F7897" w:rsidP="002F7897">
            <w:pPr>
              <w:jc w:val="center"/>
              <w:rPr>
                <w:rFonts w:ascii="Arial" w:hAnsi="Arial" w:cs="Arial"/>
                <w:sz w:val="32"/>
                <w:szCs w:val="32"/>
              </w:rPr>
            </w:pPr>
            <w:r>
              <w:rPr>
                <w:rFonts w:ascii="Arial" w:hAnsi="Arial" w:cs="Arial"/>
                <w:sz w:val="32"/>
                <w:szCs w:val="32"/>
              </w:rPr>
              <w:t>Relevance</w:t>
            </w:r>
          </w:p>
        </w:tc>
        <w:tc>
          <w:tcPr>
            <w:tcW w:w="2543" w:type="dxa"/>
          </w:tcPr>
          <w:p w14:paraId="1FCF974F" w14:textId="77777777" w:rsidR="002F7897" w:rsidRDefault="002F7897" w:rsidP="002F7897">
            <w:pPr>
              <w:jc w:val="center"/>
              <w:rPr>
                <w:rFonts w:ascii="Arial" w:hAnsi="Arial" w:cs="Arial"/>
                <w:sz w:val="32"/>
                <w:szCs w:val="32"/>
              </w:rPr>
            </w:pPr>
            <w:r>
              <w:rPr>
                <w:rFonts w:ascii="Arial" w:hAnsi="Arial" w:cs="Arial"/>
                <w:sz w:val="32"/>
                <w:szCs w:val="32"/>
              </w:rPr>
              <w:t>Reliability</w:t>
            </w:r>
          </w:p>
        </w:tc>
        <w:tc>
          <w:tcPr>
            <w:tcW w:w="2500" w:type="dxa"/>
          </w:tcPr>
          <w:p w14:paraId="79EC6E3D" w14:textId="77777777" w:rsidR="002F7897" w:rsidRDefault="002F7897" w:rsidP="002F7897">
            <w:pPr>
              <w:jc w:val="center"/>
              <w:rPr>
                <w:rFonts w:ascii="Arial" w:hAnsi="Arial" w:cs="Arial"/>
                <w:sz w:val="32"/>
                <w:szCs w:val="32"/>
              </w:rPr>
            </w:pPr>
            <w:r>
              <w:rPr>
                <w:rFonts w:ascii="Arial" w:hAnsi="Arial" w:cs="Arial"/>
                <w:sz w:val="32"/>
                <w:szCs w:val="32"/>
              </w:rPr>
              <w:t>Weight of Authority</w:t>
            </w:r>
          </w:p>
        </w:tc>
      </w:tr>
      <w:tr w:rsidR="002F7897" w14:paraId="494033A4" w14:textId="77777777" w:rsidTr="002F7897">
        <w:tc>
          <w:tcPr>
            <w:tcW w:w="1983" w:type="dxa"/>
          </w:tcPr>
          <w:p w14:paraId="13FD430E" w14:textId="77777777" w:rsidR="00B676B0" w:rsidRPr="00F3520D" w:rsidRDefault="002F7897" w:rsidP="002F7897">
            <w:pPr>
              <w:tabs>
                <w:tab w:val="left" w:pos="2703"/>
              </w:tabs>
              <w:spacing w:line="360" w:lineRule="auto"/>
              <w:rPr>
                <w:rFonts w:ascii="Arial" w:hAnsi="Arial" w:cs="Arial"/>
                <w:b/>
                <w:sz w:val="20"/>
                <w:szCs w:val="20"/>
                <w:lang w:val="en-US"/>
              </w:rPr>
            </w:pPr>
            <w:r w:rsidRPr="00F3520D">
              <w:rPr>
                <w:rFonts w:ascii="Arial" w:hAnsi="Arial" w:cs="Arial"/>
                <w:b/>
                <w:sz w:val="20"/>
                <w:szCs w:val="20"/>
                <w:lang w:val="en-US"/>
              </w:rPr>
              <w:t xml:space="preserve">Criminal </w:t>
            </w:r>
            <w:r w:rsidR="00B676B0" w:rsidRPr="00F3520D">
              <w:rPr>
                <w:rFonts w:ascii="Arial" w:hAnsi="Arial" w:cs="Arial"/>
                <w:b/>
                <w:sz w:val="20"/>
                <w:szCs w:val="20"/>
                <w:lang w:val="en-US"/>
              </w:rPr>
              <w:t>Justice and Public Order Act 1994 (s. 60)</w:t>
            </w:r>
          </w:p>
        </w:tc>
        <w:tc>
          <w:tcPr>
            <w:tcW w:w="2602" w:type="dxa"/>
          </w:tcPr>
          <w:p w14:paraId="760225F5" w14:textId="77777777" w:rsidR="002F7897" w:rsidRPr="00186A95" w:rsidRDefault="00186A95" w:rsidP="00D01512">
            <w:pPr>
              <w:jc w:val="center"/>
              <w:rPr>
                <w:rFonts w:ascii="Arial" w:hAnsi="Arial" w:cs="Arial"/>
                <w:sz w:val="20"/>
                <w:szCs w:val="20"/>
              </w:rPr>
            </w:pPr>
            <w:r>
              <w:rPr>
                <w:rFonts w:ascii="Arial" w:hAnsi="Arial" w:cs="Arial"/>
                <w:sz w:val="20"/>
                <w:szCs w:val="20"/>
              </w:rPr>
              <w:t>In force</w:t>
            </w:r>
          </w:p>
        </w:tc>
        <w:tc>
          <w:tcPr>
            <w:tcW w:w="2543" w:type="dxa"/>
          </w:tcPr>
          <w:p w14:paraId="4B7718D8" w14:textId="77777777" w:rsidR="002F7897" w:rsidRPr="00186A95" w:rsidRDefault="002F7897" w:rsidP="00D011EC">
            <w:pPr>
              <w:jc w:val="center"/>
              <w:rPr>
                <w:rFonts w:ascii="Arial" w:hAnsi="Arial" w:cs="Arial"/>
                <w:sz w:val="20"/>
                <w:szCs w:val="20"/>
              </w:rPr>
            </w:pPr>
          </w:p>
        </w:tc>
        <w:tc>
          <w:tcPr>
            <w:tcW w:w="2500" w:type="dxa"/>
          </w:tcPr>
          <w:p w14:paraId="33010597" w14:textId="77777777" w:rsidR="002F7897" w:rsidRPr="00186A95" w:rsidRDefault="002F7897" w:rsidP="00B95FF8">
            <w:pPr>
              <w:rPr>
                <w:rFonts w:ascii="Arial" w:hAnsi="Arial" w:cs="Arial"/>
                <w:sz w:val="20"/>
                <w:szCs w:val="20"/>
              </w:rPr>
            </w:pPr>
          </w:p>
        </w:tc>
      </w:tr>
      <w:tr w:rsidR="002F7897" w14:paraId="423DBBB2" w14:textId="77777777" w:rsidTr="002F7897">
        <w:tc>
          <w:tcPr>
            <w:tcW w:w="1983" w:type="dxa"/>
          </w:tcPr>
          <w:p w14:paraId="3F0A06DA" w14:textId="77777777" w:rsidR="002F7897" w:rsidRPr="00F3520D" w:rsidRDefault="00B52BBF" w:rsidP="00B95FF8">
            <w:pPr>
              <w:rPr>
                <w:rFonts w:ascii="Arial" w:hAnsi="Arial" w:cs="Arial"/>
                <w:b/>
                <w:sz w:val="20"/>
                <w:szCs w:val="20"/>
                <w:lang w:val="en-US"/>
              </w:rPr>
            </w:pPr>
            <w:r w:rsidRPr="00F3520D">
              <w:rPr>
                <w:rFonts w:ascii="Arial" w:hAnsi="Arial" w:cs="Arial"/>
                <w:b/>
                <w:sz w:val="20"/>
                <w:szCs w:val="20"/>
                <w:lang w:val="en-US"/>
              </w:rPr>
              <w:t xml:space="preserve">European </w:t>
            </w:r>
            <w:r w:rsidRPr="00F3520D">
              <w:rPr>
                <w:rFonts w:ascii="Arial" w:hAnsi="Arial" w:cs="Arial"/>
                <w:b/>
                <w:sz w:val="20"/>
                <w:szCs w:val="20"/>
                <w:lang w:val="en-US"/>
              </w:rPr>
              <w:lastRenderedPageBreak/>
              <w:t>Convention on Human Rights 1950 art. 5, 8, 10, 11</w:t>
            </w:r>
          </w:p>
        </w:tc>
        <w:tc>
          <w:tcPr>
            <w:tcW w:w="2602" w:type="dxa"/>
          </w:tcPr>
          <w:p w14:paraId="7EB59EBA" w14:textId="77777777" w:rsidR="002F7897" w:rsidRPr="00186A95" w:rsidRDefault="00186A95" w:rsidP="00D01512">
            <w:pPr>
              <w:jc w:val="center"/>
              <w:rPr>
                <w:rFonts w:ascii="Arial" w:hAnsi="Arial" w:cs="Arial"/>
                <w:sz w:val="20"/>
                <w:szCs w:val="20"/>
              </w:rPr>
            </w:pPr>
            <w:r>
              <w:rPr>
                <w:rFonts w:ascii="Arial" w:hAnsi="Arial" w:cs="Arial"/>
                <w:sz w:val="20"/>
                <w:szCs w:val="20"/>
              </w:rPr>
              <w:lastRenderedPageBreak/>
              <w:t>In force</w:t>
            </w:r>
          </w:p>
        </w:tc>
        <w:tc>
          <w:tcPr>
            <w:tcW w:w="2543" w:type="dxa"/>
          </w:tcPr>
          <w:p w14:paraId="189734FE" w14:textId="77777777" w:rsidR="002F7897" w:rsidRPr="00186A95" w:rsidRDefault="002F7897" w:rsidP="00D011EC">
            <w:pPr>
              <w:jc w:val="center"/>
              <w:rPr>
                <w:rFonts w:ascii="Arial" w:hAnsi="Arial" w:cs="Arial"/>
                <w:sz w:val="20"/>
                <w:szCs w:val="20"/>
              </w:rPr>
            </w:pPr>
          </w:p>
        </w:tc>
        <w:tc>
          <w:tcPr>
            <w:tcW w:w="2500" w:type="dxa"/>
          </w:tcPr>
          <w:p w14:paraId="7BD8ABA4" w14:textId="77777777" w:rsidR="002F7897" w:rsidRPr="00186A95" w:rsidRDefault="002F7897" w:rsidP="00B95FF8">
            <w:pPr>
              <w:rPr>
                <w:rFonts w:ascii="Arial" w:hAnsi="Arial" w:cs="Arial"/>
                <w:sz w:val="20"/>
                <w:szCs w:val="20"/>
              </w:rPr>
            </w:pPr>
          </w:p>
        </w:tc>
      </w:tr>
      <w:tr w:rsidR="002F7897" w14:paraId="008300B7" w14:textId="77777777" w:rsidTr="002F7897">
        <w:tc>
          <w:tcPr>
            <w:tcW w:w="1983" w:type="dxa"/>
          </w:tcPr>
          <w:p w14:paraId="55568516" w14:textId="77777777" w:rsidR="002F7897" w:rsidRPr="00F3520D" w:rsidRDefault="00B676B0" w:rsidP="00B95FF8">
            <w:pPr>
              <w:rPr>
                <w:rFonts w:ascii="Arial" w:hAnsi="Arial" w:cs="Arial"/>
                <w:b/>
                <w:sz w:val="32"/>
                <w:szCs w:val="32"/>
              </w:rPr>
            </w:pPr>
            <w:r w:rsidRPr="00F3520D">
              <w:rPr>
                <w:rFonts w:ascii="Arial" w:hAnsi="Arial" w:cs="Arial"/>
                <w:b/>
                <w:sz w:val="20"/>
                <w:szCs w:val="20"/>
                <w:lang w:val="en-US"/>
              </w:rPr>
              <w:lastRenderedPageBreak/>
              <w:t>Human Rights Act 1998</w:t>
            </w:r>
          </w:p>
        </w:tc>
        <w:tc>
          <w:tcPr>
            <w:tcW w:w="2602" w:type="dxa"/>
          </w:tcPr>
          <w:p w14:paraId="733C8CA2" w14:textId="77777777" w:rsidR="002F7897" w:rsidRPr="00186A95" w:rsidRDefault="00186A95" w:rsidP="00D01512">
            <w:pPr>
              <w:jc w:val="center"/>
              <w:rPr>
                <w:rFonts w:ascii="Arial" w:hAnsi="Arial" w:cs="Arial"/>
                <w:sz w:val="20"/>
                <w:szCs w:val="20"/>
              </w:rPr>
            </w:pPr>
            <w:r>
              <w:rPr>
                <w:rFonts w:ascii="Arial" w:hAnsi="Arial" w:cs="Arial"/>
                <w:sz w:val="20"/>
                <w:szCs w:val="20"/>
              </w:rPr>
              <w:t>In force</w:t>
            </w:r>
          </w:p>
        </w:tc>
        <w:tc>
          <w:tcPr>
            <w:tcW w:w="2543" w:type="dxa"/>
          </w:tcPr>
          <w:p w14:paraId="74EC156A" w14:textId="77777777" w:rsidR="002F7897" w:rsidRPr="00186A95" w:rsidRDefault="002F7897" w:rsidP="00D011EC">
            <w:pPr>
              <w:jc w:val="center"/>
              <w:rPr>
                <w:rFonts w:ascii="Arial" w:hAnsi="Arial" w:cs="Arial"/>
                <w:sz w:val="20"/>
                <w:szCs w:val="20"/>
              </w:rPr>
            </w:pPr>
          </w:p>
        </w:tc>
        <w:tc>
          <w:tcPr>
            <w:tcW w:w="2500" w:type="dxa"/>
          </w:tcPr>
          <w:p w14:paraId="1FFE795F" w14:textId="77777777" w:rsidR="002F7897" w:rsidRPr="00186A95" w:rsidRDefault="002F7897" w:rsidP="00B95FF8">
            <w:pPr>
              <w:rPr>
                <w:rFonts w:ascii="Arial" w:hAnsi="Arial" w:cs="Arial"/>
                <w:sz w:val="20"/>
                <w:szCs w:val="20"/>
              </w:rPr>
            </w:pPr>
          </w:p>
        </w:tc>
      </w:tr>
      <w:tr w:rsidR="002F7897" w14:paraId="638BBC08" w14:textId="77777777" w:rsidTr="002F7897">
        <w:tc>
          <w:tcPr>
            <w:tcW w:w="1983" w:type="dxa"/>
          </w:tcPr>
          <w:p w14:paraId="3CBF1FBB" w14:textId="77777777" w:rsidR="002F7897" w:rsidRPr="00F3520D" w:rsidRDefault="00975A64" w:rsidP="00B95FF8">
            <w:pPr>
              <w:rPr>
                <w:rFonts w:ascii="Arial" w:hAnsi="Arial" w:cs="Arial"/>
                <w:b/>
                <w:sz w:val="20"/>
                <w:szCs w:val="20"/>
              </w:rPr>
            </w:pPr>
            <w:r w:rsidRPr="00F3520D">
              <w:rPr>
                <w:rFonts w:ascii="Arial" w:hAnsi="Arial" w:cs="Arial"/>
                <w:b/>
                <w:sz w:val="20"/>
                <w:szCs w:val="20"/>
              </w:rPr>
              <w:t>Misuse of Drugs Act 1971 (s. 23)</w:t>
            </w:r>
          </w:p>
        </w:tc>
        <w:tc>
          <w:tcPr>
            <w:tcW w:w="2602" w:type="dxa"/>
          </w:tcPr>
          <w:p w14:paraId="0B312C12" w14:textId="77777777" w:rsidR="002F7897" w:rsidRPr="00186A95" w:rsidRDefault="00186A95" w:rsidP="00D01512">
            <w:pPr>
              <w:jc w:val="center"/>
              <w:rPr>
                <w:rFonts w:ascii="Arial" w:hAnsi="Arial" w:cs="Arial"/>
                <w:sz w:val="20"/>
                <w:szCs w:val="20"/>
              </w:rPr>
            </w:pPr>
            <w:r>
              <w:rPr>
                <w:rFonts w:ascii="Arial" w:hAnsi="Arial" w:cs="Arial"/>
                <w:sz w:val="20"/>
                <w:szCs w:val="20"/>
              </w:rPr>
              <w:t>In force</w:t>
            </w:r>
          </w:p>
        </w:tc>
        <w:tc>
          <w:tcPr>
            <w:tcW w:w="2543" w:type="dxa"/>
          </w:tcPr>
          <w:p w14:paraId="78745307" w14:textId="77777777" w:rsidR="002F7897" w:rsidRPr="00186A95" w:rsidRDefault="002F7897" w:rsidP="00D011EC">
            <w:pPr>
              <w:jc w:val="center"/>
              <w:rPr>
                <w:rFonts w:ascii="Arial" w:hAnsi="Arial" w:cs="Arial"/>
                <w:sz w:val="20"/>
                <w:szCs w:val="20"/>
              </w:rPr>
            </w:pPr>
          </w:p>
        </w:tc>
        <w:tc>
          <w:tcPr>
            <w:tcW w:w="2500" w:type="dxa"/>
          </w:tcPr>
          <w:p w14:paraId="21A21EFE" w14:textId="77777777" w:rsidR="002F7897" w:rsidRPr="00186A95" w:rsidRDefault="002F7897" w:rsidP="00B95FF8">
            <w:pPr>
              <w:rPr>
                <w:rFonts w:ascii="Arial" w:hAnsi="Arial" w:cs="Arial"/>
                <w:sz w:val="20"/>
                <w:szCs w:val="20"/>
              </w:rPr>
            </w:pPr>
          </w:p>
        </w:tc>
      </w:tr>
      <w:tr w:rsidR="002F7897" w14:paraId="3BBB5960" w14:textId="77777777" w:rsidTr="002F7897">
        <w:tc>
          <w:tcPr>
            <w:tcW w:w="1983" w:type="dxa"/>
          </w:tcPr>
          <w:p w14:paraId="02B95CDF" w14:textId="77777777" w:rsidR="002F7897" w:rsidRPr="00F3520D" w:rsidRDefault="00975A64" w:rsidP="00B95FF8">
            <w:pPr>
              <w:rPr>
                <w:rFonts w:ascii="Arial" w:hAnsi="Arial" w:cs="Arial"/>
                <w:b/>
                <w:sz w:val="20"/>
                <w:szCs w:val="20"/>
              </w:rPr>
            </w:pPr>
            <w:r w:rsidRPr="00F3520D">
              <w:rPr>
                <w:rFonts w:ascii="Arial" w:hAnsi="Arial" w:cs="Arial"/>
                <w:b/>
                <w:sz w:val="20"/>
                <w:szCs w:val="20"/>
              </w:rPr>
              <w:t>Police Act 1996, s 89(2)</w:t>
            </w:r>
          </w:p>
        </w:tc>
        <w:tc>
          <w:tcPr>
            <w:tcW w:w="2602" w:type="dxa"/>
          </w:tcPr>
          <w:p w14:paraId="1C2C81F3" w14:textId="77777777" w:rsidR="002F7897" w:rsidRPr="00186A95" w:rsidRDefault="00186A95" w:rsidP="00D01512">
            <w:pPr>
              <w:jc w:val="center"/>
              <w:rPr>
                <w:rFonts w:ascii="Arial" w:hAnsi="Arial" w:cs="Arial"/>
                <w:sz w:val="20"/>
                <w:szCs w:val="20"/>
              </w:rPr>
            </w:pPr>
            <w:r>
              <w:rPr>
                <w:rFonts w:ascii="Arial" w:hAnsi="Arial" w:cs="Arial"/>
                <w:sz w:val="20"/>
                <w:szCs w:val="20"/>
              </w:rPr>
              <w:t>In force</w:t>
            </w:r>
          </w:p>
        </w:tc>
        <w:tc>
          <w:tcPr>
            <w:tcW w:w="2543" w:type="dxa"/>
          </w:tcPr>
          <w:p w14:paraId="7281FDD3" w14:textId="77777777" w:rsidR="002F7897" w:rsidRPr="00186A95" w:rsidRDefault="002F7897" w:rsidP="00D011EC">
            <w:pPr>
              <w:jc w:val="center"/>
              <w:rPr>
                <w:rFonts w:ascii="Arial" w:hAnsi="Arial" w:cs="Arial"/>
                <w:sz w:val="20"/>
                <w:szCs w:val="20"/>
              </w:rPr>
            </w:pPr>
          </w:p>
        </w:tc>
        <w:tc>
          <w:tcPr>
            <w:tcW w:w="2500" w:type="dxa"/>
          </w:tcPr>
          <w:p w14:paraId="7FF3817B" w14:textId="77777777" w:rsidR="002F7897" w:rsidRPr="00186A95" w:rsidRDefault="002F7897" w:rsidP="00B95FF8">
            <w:pPr>
              <w:rPr>
                <w:rFonts w:ascii="Arial" w:hAnsi="Arial" w:cs="Arial"/>
                <w:sz w:val="20"/>
                <w:szCs w:val="20"/>
              </w:rPr>
            </w:pPr>
          </w:p>
        </w:tc>
      </w:tr>
      <w:tr w:rsidR="002F7897" w14:paraId="5B4DCCAF" w14:textId="77777777" w:rsidTr="002F7897">
        <w:tc>
          <w:tcPr>
            <w:tcW w:w="1983" w:type="dxa"/>
          </w:tcPr>
          <w:p w14:paraId="1D607DEF" w14:textId="77777777" w:rsidR="002F7897" w:rsidRPr="00F3520D" w:rsidRDefault="00975A64" w:rsidP="00B95FF8">
            <w:pPr>
              <w:rPr>
                <w:rFonts w:ascii="Arial" w:hAnsi="Arial" w:cs="Arial"/>
                <w:b/>
                <w:sz w:val="20"/>
                <w:szCs w:val="20"/>
              </w:rPr>
            </w:pPr>
            <w:r w:rsidRPr="00F3520D">
              <w:rPr>
                <w:rFonts w:ascii="Arial" w:hAnsi="Arial" w:cs="Arial"/>
                <w:b/>
                <w:sz w:val="20"/>
                <w:szCs w:val="20"/>
              </w:rPr>
              <w:t>Police and Criminal Evidence Act 1984 (PACE) (s. 1)</w:t>
            </w:r>
          </w:p>
        </w:tc>
        <w:tc>
          <w:tcPr>
            <w:tcW w:w="2602" w:type="dxa"/>
          </w:tcPr>
          <w:p w14:paraId="19CC0D4C" w14:textId="77777777" w:rsidR="002F7897" w:rsidRPr="00186A95" w:rsidRDefault="00186A95" w:rsidP="00D01512">
            <w:pPr>
              <w:jc w:val="center"/>
              <w:rPr>
                <w:rFonts w:ascii="Arial" w:hAnsi="Arial" w:cs="Arial"/>
                <w:sz w:val="20"/>
                <w:szCs w:val="20"/>
              </w:rPr>
            </w:pPr>
            <w:r>
              <w:rPr>
                <w:rFonts w:ascii="Arial" w:hAnsi="Arial" w:cs="Arial"/>
                <w:sz w:val="20"/>
                <w:szCs w:val="20"/>
              </w:rPr>
              <w:t>In force</w:t>
            </w:r>
          </w:p>
        </w:tc>
        <w:tc>
          <w:tcPr>
            <w:tcW w:w="2543" w:type="dxa"/>
          </w:tcPr>
          <w:p w14:paraId="4426DD6C" w14:textId="77777777" w:rsidR="002F7897" w:rsidRPr="00186A95" w:rsidRDefault="002F7897" w:rsidP="00D011EC">
            <w:pPr>
              <w:jc w:val="center"/>
              <w:rPr>
                <w:rFonts w:ascii="Arial" w:hAnsi="Arial" w:cs="Arial"/>
                <w:sz w:val="20"/>
                <w:szCs w:val="20"/>
              </w:rPr>
            </w:pPr>
          </w:p>
        </w:tc>
        <w:tc>
          <w:tcPr>
            <w:tcW w:w="2500" w:type="dxa"/>
          </w:tcPr>
          <w:p w14:paraId="220956A5" w14:textId="77777777" w:rsidR="002F7897" w:rsidRPr="00186A95" w:rsidRDefault="002F7897" w:rsidP="00B95FF8">
            <w:pPr>
              <w:rPr>
                <w:rFonts w:ascii="Arial" w:hAnsi="Arial" w:cs="Arial"/>
                <w:sz w:val="20"/>
                <w:szCs w:val="20"/>
              </w:rPr>
            </w:pPr>
          </w:p>
        </w:tc>
      </w:tr>
      <w:tr w:rsidR="002F7897" w14:paraId="2D3C4586" w14:textId="77777777" w:rsidTr="002F7897">
        <w:tc>
          <w:tcPr>
            <w:tcW w:w="1983" w:type="dxa"/>
          </w:tcPr>
          <w:p w14:paraId="52B2401F" w14:textId="77777777" w:rsidR="002F7897" w:rsidRPr="00F3520D" w:rsidRDefault="00975A64" w:rsidP="00B95FF8">
            <w:pPr>
              <w:rPr>
                <w:rFonts w:ascii="Arial" w:hAnsi="Arial" w:cs="Arial"/>
                <w:b/>
                <w:sz w:val="20"/>
                <w:szCs w:val="20"/>
              </w:rPr>
            </w:pPr>
            <w:r w:rsidRPr="00F3520D">
              <w:rPr>
                <w:rFonts w:ascii="Arial" w:hAnsi="Arial" w:cs="Arial"/>
                <w:b/>
                <w:sz w:val="20"/>
                <w:szCs w:val="20"/>
              </w:rPr>
              <w:t>Protection of Freedoms Act 2012 (ss. 59, 62)</w:t>
            </w:r>
          </w:p>
        </w:tc>
        <w:tc>
          <w:tcPr>
            <w:tcW w:w="2602" w:type="dxa"/>
          </w:tcPr>
          <w:p w14:paraId="1B52CA58" w14:textId="77777777" w:rsidR="002F7897" w:rsidRPr="00186A95" w:rsidRDefault="00186A95" w:rsidP="00D01512">
            <w:pPr>
              <w:jc w:val="center"/>
              <w:rPr>
                <w:rFonts w:ascii="Arial" w:hAnsi="Arial" w:cs="Arial"/>
                <w:sz w:val="20"/>
                <w:szCs w:val="20"/>
              </w:rPr>
            </w:pPr>
            <w:r>
              <w:rPr>
                <w:rFonts w:ascii="Arial" w:hAnsi="Arial" w:cs="Arial"/>
                <w:sz w:val="20"/>
                <w:szCs w:val="20"/>
              </w:rPr>
              <w:t>In force</w:t>
            </w:r>
          </w:p>
        </w:tc>
        <w:tc>
          <w:tcPr>
            <w:tcW w:w="2543" w:type="dxa"/>
          </w:tcPr>
          <w:p w14:paraId="522946B8" w14:textId="77777777" w:rsidR="002F7897" w:rsidRPr="00186A95" w:rsidRDefault="002F7897" w:rsidP="00D011EC">
            <w:pPr>
              <w:jc w:val="center"/>
              <w:rPr>
                <w:rFonts w:ascii="Arial" w:hAnsi="Arial" w:cs="Arial"/>
                <w:sz w:val="20"/>
                <w:szCs w:val="20"/>
              </w:rPr>
            </w:pPr>
          </w:p>
        </w:tc>
        <w:tc>
          <w:tcPr>
            <w:tcW w:w="2500" w:type="dxa"/>
          </w:tcPr>
          <w:p w14:paraId="148AD5E4" w14:textId="77777777" w:rsidR="002F7897" w:rsidRPr="00186A95" w:rsidRDefault="002F7897" w:rsidP="00B95FF8">
            <w:pPr>
              <w:rPr>
                <w:rFonts w:ascii="Arial" w:hAnsi="Arial" w:cs="Arial"/>
                <w:sz w:val="20"/>
                <w:szCs w:val="20"/>
              </w:rPr>
            </w:pPr>
          </w:p>
        </w:tc>
      </w:tr>
      <w:tr w:rsidR="002F7897" w14:paraId="4ACB8973" w14:textId="77777777" w:rsidTr="002F7897">
        <w:tc>
          <w:tcPr>
            <w:tcW w:w="1983" w:type="dxa"/>
          </w:tcPr>
          <w:p w14:paraId="7C43FA45" w14:textId="77777777" w:rsidR="002F7897" w:rsidRPr="00F3520D" w:rsidRDefault="00975A64" w:rsidP="00B95FF8">
            <w:pPr>
              <w:rPr>
                <w:rFonts w:ascii="Arial" w:hAnsi="Arial" w:cs="Arial"/>
                <w:b/>
                <w:sz w:val="20"/>
                <w:szCs w:val="20"/>
              </w:rPr>
            </w:pPr>
            <w:r w:rsidRPr="00F3520D">
              <w:rPr>
                <w:rFonts w:ascii="Arial" w:hAnsi="Arial" w:cs="Arial"/>
                <w:b/>
                <w:sz w:val="20"/>
                <w:szCs w:val="20"/>
              </w:rPr>
              <w:t>Race Relations Act 1976</w:t>
            </w:r>
          </w:p>
        </w:tc>
        <w:tc>
          <w:tcPr>
            <w:tcW w:w="2602" w:type="dxa"/>
          </w:tcPr>
          <w:p w14:paraId="56E52C0A" w14:textId="77777777" w:rsidR="002F7897" w:rsidRPr="00186A95" w:rsidRDefault="00186A95" w:rsidP="00D01512">
            <w:pPr>
              <w:jc w:val="center"/>
              <w:rPr>
                <w:rFonts w:ascii="Arial" w:hAnsi="Arial" w:cs="Arial"/>
                <w:sz w:val="20"/>
                <w:szCs w:val="20"/>
              </w:rPr>
            </w:pPr>
            <w:r>
              <w:rPr>
                <w:rFonts w:ascii="Arial" w:hAnsi="Arial" w:cs="Arial"/>
                <w:sz w:val="20"/>
                <w:szCs w:val="20"/>
              </w:rPr>
              <w:t>In force</w:t>
            </w:r>
          </w:p>
        </w:tc>
        <w:tc>
          <w:tcPr>
            <w:tcW w:w="2543" w:type="dxa"/>
          </w:tcPr>
          <w:p w14:paraId="30D768F4" w14:textId="77777777" w:rsidR="002F7897" w:rsidRPr="00186A95" w:rsidRDefault="002F7897" w:rsidP="00D011EC">
            <w:pPr>
              <w:jc w:val="center"/>
              <w:rPr>
                <w:rFonts w:ascii="Arial" w:hAnsi="Arial" w:cs="Arial"/>
                <w:sz w:val="20"/>
                <w:szCs w:val="20"/>
              </w:rPr>
            </w:pPr>
          </w:p>
        </w:tc>
        <w:tc>
          <w:tcPr>
            <w:tcW w:w="2500" w:type="dxa"/>
          </w:tcPr>
          <w:p w14:paraId="52E23301" w14:textId="77777777" w:rsidR="002F7897" w:rsidRPr="00186A95" w:rsidRDefault="002F7897" w:rsidP="00B95FF8">
            <w:pPr>
              <w:rPr>
                <w:rFonts w:ascii="Arial" w:hAnsi="Arial" w:cs="Arial"/>
                <w:sz w:val="20"/>
                <w:szCs w:val="20"/>
              </w:rPr>
            </w:pPr>
          </w:p>
        </w:tc>
      </w:tr>
      <w:tr w:rsidR="00975A64" w14:paraId="16AC913B" w14:textId="77777777" w:rsidTr="002F7897">
        <w:tc>
          <w:tcPr>
            <w:tcW w:w="1983" w:type="dxa"/>
          </w:tcPr>
          <w:p w14:paraId="7D64E3AE" w14:textId="77777777" w:rsidR="00975A64" w:rsidRPr="00F3520D" w:rsidRDefault="00975A64" w:rsidP="00B95FF8">
            <w:pPr>
              <w:rPr>
                <w:rFonts w:ascii="Arial" w:hAnsi="Arial" w:cs="Arial"/>
                <w:b/>
                <w:sz w:val="20"/>
                <w:szCs w:val="20"/>
              </w:rPr>
            </w:pPr>
            <w:r w:rsidRPr="00F3520D">
              <w:rPr>
                <w:rFonts w:ascii="Arial" w:hAnsi="Arial" w:cs="Arial"/>
                <w:b/>
                <w:sz w:val="20"/>
                <w:szCs w:val="20"/>
              </w:rPr>
              <w:t>Terrorism Act 2000 (ss. 43-47)</w:t>
            </w:r>
          </w:p>
        </w:tc>
        <w:tc>
          <w:tcPr>
            <w:tcW w:w="2602" w:type="dxa"/>
          </w:tcPr>
          <w:p w14:paraId="227F816D" w14:textId="77777777" w:rsidR="00975A64" w:rsidRPr="00186A95" w:rsidRDefault="00186A95" w:rsidP="00D01512">
            <w:pPr>
              <w:jc w:val="center"/>
              <w:rPr>
                <w:rFonts w:ascii="Arial" w:hAnsi="Arial" w:cs="Arial"/>
                <w:sz w:val="20"/>
                <w:szCs w:val="20"/>
              </w:rPr>
            </w:pPr>
            <w:r>
              <w:rPr>
                <w:rFonts w:ascii="Arial" w:hAnsi="Arial" w:cs="Arial"/>
                <w:sz w:val="20"/>
                <w:szCs w:val="20"/>
              </w:rPr>
              <w:t xml:space="preserve">Sections 44-47 repealed by </w:t>
            </w:r>
            <w:r w:rsidR="00275D2D">
              <w:rPr>
                <w:rFonts w:ascii="Arial" w:hAnsi="Arial" w:cs="Arial"/>
                <w:sz w:val="20"/>
                <w:szCs w:val="20"/>
              </w:rPr>
              <w:t xml:space="preserve">sections 59 and 62 of </w:t>
            </w:r>
            <w:r>
              <w:rPr>
                <w:rFonts w:ascii="Arial" w:hAnsi="Arial" w:cs="Arial"/>
                <w:sz w:val="20"/>
                <w:szCs w:val="20"/>
              </w:rPr>
              <w:t>the PoFA 2012</w:t>
            </w:r>
          </w:p>
        </w:tc>
        <w:tc>
          <w:tcPr>
            <w:tcW w:w="2543" w:type="dxa"/>
          </w:tcPr>
          <w:p w14:paraId="1094E5C7" w14:textId="77777777" w:rsidR="00975A64" w:rsidRPr="00186A95" w:rsidRDefault="00975A64" w:rsidP="00D011EC">
            <w:pPr>
              <w:jc w:val="center"/>
              <w:rPr>
                <w:rFonts w:ascii="Arial" w:hAnsi="Arial" w:cs="Arial"/>
                <w:sz w:val="20"/>
                <w:szCs w:val="20"/>
              </w:rPr>
            </w:pPr>
          </w:p>
        </w:tc>
        <w:tc>
          <w:tcPr>
            <w:tcW w:w="2500" w:type="dxa"/>
          </w:tcPr>
          <w:p w14:paraId="3B3FB918" w14:textId="77777777" w:rsidR="00975A64" w:rsidRPr="00186A95" w:rsidRDefault="00975A64" w:rsidP="00B95FF8">
            <w:pPr>
              <w:rPr>
                <w:rFonts w:ascii="Arial" w:hAnsi="Arial" w:cs="Arial"/>
                <w:sz w:val="20"/>
                <w:szCs w:val="20"/>
              </w:rPr>
            </w:pPr>
          </w:p>
        </w:tc>
      </w:tr>
      <w:tr w:rsidR="00975A64" w14:paraId="7FAEA029" w14:textId="77777777" w:rsidTr="002F7897">
        <w:tc>
          <w:tcPr>
            <w:tcW w:w="1983" w:type="dxa"/>
          </w:tcPr>
          <w:p w14:paraId="754C5128" w14:textId="77777777" w:rsidR="00975A64" w:rsidRPr="00F3520D" w:rsidRDefault="00975A64" w:rsidP="00B95FF8">
            <w:pPr>
              <w:rPr>
                <w:rFonts w:ascii="Arial" w:hAnsi="Arial" w:cs="Arial"/>
                <w:b/>
                <w:sz w:val="20"/>
                <w:szCs w:val="20"/>
              </w:rPr>
            </w:pPr>
            <w:r w:rsidRPr="00F3520D">
              <w:rPr>
                <w:rFonts w:ascii="Arial" w:hAnsi="Arial" w:cs="Arial"/>
                <w:b/>
                <w:sz w:val="20"/>
                <w:szCs w:val="20"/>
              </w:rPr>
              <w:t>Terrorism Act 2006</w:t>
            </w:r>
          </w:p>
        </w:tc>
        <w:tc>
          <w:tcPr>
            <w:tcW w:w="2602" w:type="dxa"/>
          </w:tcPr>
          <w:p w14:paraId="0BD26BBD" w14:textId="77777777" w:rsidR="00975A64" w:rsidRPr="00186A95" w:rsidRDefault="00186A95" w:rsidP="00D01512">
            <w:pPr>
              <w:jc w:val="center"/>
              <w:rPr>
                <w:rFonts w:ascii="Arial" w:hAnsi="Arial" w:cs="Arial"/>
                <w:sz w:val="20"/>
                <w:szCs w:val="20"/>
              </w:rPr>
            </w:pPr>
            <w:r>
              <w:rPr>
                <w:rFonts w:ascii="Arial" w:hAnsi="Arial" w:cs="Arial"/>
                <w:sz w:val="20"/>
                <w:szCs w:val="20"/>
              </w:rPr>
              <w:t>In force</w:t>
            </w:r>
          </w:p>
        </w:tc>
        <w:tc>
          <w:tcPr>
            <w:tcW w:w="2543" w:type="dxa"/>
          </w:tcPr>
          <w:p w14:paraId="227BDD0C" w14:textId="77777777" w:rsidR="00975A64" w:rsidRPr="00186A95" w:rsidRDefault="00975A64" w:rsidP="00D011EC">
            <w:pPr>
              <w:jc w:val="center"/>
              <w:rPr>
                <w:rFonts w:ascii="Arial" w:hAnsi="Arial" w:cs="Arial"/>
                <w:sz w:val="20"/>
                <w:szCs w:val="20"/>
              </w:rPr>
            </w:pPr>
          </w:p>
        </w:tc>
        <w:tc>
          <w:tcPr>
            <w:tcW w:w="2500" w:type="dxa"/>
          </w:tcPr>
          <w:p w14:paraId="04DBCF5C" w14:textId="77777777" w:rsidR="00975A64" w:rsidRPr="00186A95" w:rsidRDefault="00975A64" w:rsidP="00B95FF8">
            <w:pPr>
              <w:rPr>
                <w:rFonts w:ascii="Arial" w:hAnsi="Arial" w:cs="Arial"/>
                <w:sz w:val="20"/>
                <w:szCs w:val="20"/>
              </w:rPr>
            </w:pPr>
          </w:p>
        </w:tc>
      </w:tr>
      <w:tr w:rsidR="00975A64" w14:paraId="6BB2D294" w14:textId="77777777" w:rsidTr="00D01512">
        <w:trPr>
          <w:trHeight w:val="729"/>
        </w:trPr>
        <w:tc>
          <w:tcPr>
            <w:tcW w:w="1983" w:type="dxa"/>
          </w:tcPr>
          <w:p w14:paraId="69433762" w14:textId="77777777" w:rsidR="00975A64" w:rsidRPr="00F3520D" w:rsidRDefault="00975A64" w:rsidP="00B95FF8">
            <w:pPr>
              <w:rPr>
                <w:rFonts w:ascii="Arial" w:hAnsi="Arial" w:cs="Arial"/>
                <w:b/>
                <w:sz w:val="20"/>
                <w:szCs w:val="20"/>
              </w:rPr>
            </w:pPr>
            <w:r w:rsidRPr="00F3520D">
              <w:rPr>
                <w:rFonts w:ascii="Arial" w:hAnsi="Arial" w:cs="Arial"/>
                <w:b/>
                <w:sz w:val="20"/>
                <w:szCs w:val="20"/>
              </w:rPr>
              <w:t>Terrorism Act (Remedial) Order 2011</w:t>
            </w:r>
          </w:p>
        </w:tc>
        <w:tc>
          <w:tcPr>
            <w:tcW w:w="2602" w:type="dxa"/>
          </w:tcPr>
          <w:p w14:paraId="52B0996B" w14:textId="77777777" w:rsidR="00975A64" w:rsidRPr="00186A95" w:rsidRDefault="00186A95" w:rsidP="00D01512">
            <w:pPr>
              <w:jc w:val="center"/>
              <w:rPr>
                <w:rFonts w:ascii="Arial" w:hAnsi="Arial" w:cs="Arial"/>
                <w:sz w:val="20"/>
                <w:szCs w:val="20"/>
              </w:rPr>
            </w:pPr>
            <w:r>
              <w:rPr>
                <w:rFonts w:ascii="Arial" w:hAnsi="Arial" w:cs="Arial"/>
                <w:sz w:val="20"/>
                <w:szCs w:val="20"/>
              </w:rPr>
              <w:t>Ceased to be in force when PoFA 2012 received Royal Assent</w:t>
            </w:r>
          </w:p>
        </w:tc>
        <w:tc>
          <w:tcPr>
            <w:tcW w:w="2543" w:type="dxa"/>
          </w:tcPr>
          <w:p w14:paraId="5BFA9083" w14:textId="77777777" w:rsidR="00975A64" w:rsidRPr="00186A95" w:rsidRDefault="00975A64" w:rsidP="00D011EC">
            <w:pPr>
              <w:jc w:val="center"/>
              <w:rPr>
                <w:rFonts w:ascii="Arial" w:hAnsi="Arial" w:cs="Arial"/>
                <w:sz w:val="20"/>
                <w:szCs w:val="20"/>
              </w:rPr>
            </w:pPr>
          </w:p>
        </w:tc>
        <w:tc>
          <w:tcPr>
            <w:tcW w:w="2500" w:type="dxa"/>
          </w:tcPr>
          <w:p w14:paraId="3686C7FC" w14:textId="77777777" w:rsidR="00975A64" w:rsidRPr="00186A95" w:rsidRDefault="00975A64" w:rsidP="00B95FF8">
            <w:pPr>
              <w:rPr>
                <w:rFonts w:ascii="Arial" w:hAnsi="Arial" w:cs="Arial"/>
                <w:sz w:val="20"/>
                <w:szCs w:val="20"/>
              </w:rPr>
            </w:pPr>
          </w:p>
        </w:tc>
      </w:tr>
    </w:tbl>
    <w:p w14:paraId="46457545" w14:textId="77777777" w:rsidR="00975A64" w:rsidRPr="00B95FF8" w:rsidRDefault="00975A64" w:rsidP="00975A64">
      <w:pPr>
        <w:ind w:left="1417"/>
        <w:rPr>
          <w:rFonts w:ascii="Arial" w:hAnsi="Arial" w:cs="Arial"/>
          <w:sz w:val="32"/>
          <w:szCs w:val="32"/>
        </w:rPr>
      </w:pPr>
    </w:p>
    <w:p w14:paraId="71B0BB7E" w14:textId="77777777" w:rsidR="00D01512" w:rsidRDefault="00D01512" w:rsidP="00D01512">
      <w:pPr>
        <w:ind w:left="1417"/>
        <w:jc w:val="center"/>
        <w:rPr>
          <w:rFonts w:ascii="Arial" w:hAnsi="Arial" w:cs="Arial"/>
          <w:sz w:val="32"/>
          <w:szCs w:val="32"/>
        </w:rPr>
      </w:pPr>
    </w:p>
    <w:tbl>
      <w:tblPr>
        <w:tblStyle w:val="GridTableLight"/>
        <w:tblW w:w="0" w:type="auto"/>
        <w:tblLook w:val="04A0" w:firstRow="1" w:lastRow="0" w:firstColumn="1" w:lastColumn="0" w:noHBand="0" w:noVBand="1"/>
      </w:tblPr>
      <w:tblGrid>
        <w:gridCol w:w="1983"/>
        <w:gridCol w:w="2602"/>
        <w:gridCol w:w="2543"/>
        <w:gridCol w:w="2500"/>
      </w:tblGrid>
      <w:tr w:rsidR="00D01512" w14:paraId="18577E32" w14:textId="77777777" w:rsidTr="009E74AF">
        <w:trPr>
          <w:trHeight w:val="548"/>
        </w:trPr>
        <w:tc>
          <w:tcPr>
            <w:tcW w:w="1983" w:type="dxa"/>
          </w:tcPr>
          <w:p w14:paraId="2415D267" w14:textId="77777777" w:rsidR="00D01512" w:rsidRDefault="00D01512" w:rsidP="00D011EC">
            <w:pPr>
              <w:jc w:val="center"/>
              <w:rPr>
                <w:rFonts w:ascii="Arial" w:hAnsi="Arial" w:cs="Arial"/>
                <w:b/>
                <w:sz w:val="32"/>
                <w:szCs w:val="32"/>
              </w:rPr>
            </w:pPr>
            <w:r>
              <w:rPr>
                <w:rFonts w:ascii="Arial" w:hAnsi="Arial" w:cs="Arial"/>
                <w:b/>
                <w:sz w:val="32"/>
                <w:szCs w:val="32"/>
              </w:rPr>
              <w:t>Cases</w:t>
            </w:r>
          </w:p>
          <w:p w14:paraId="7435762F" w14:textId="77777777" w:rsidR="00D011EC" w:rsidRPr="00D011EC" w:rsidRDefault="00D011EC" w:rsidP="00D011EC">
            <w:pPr>
              <w:jc w:val="center"/>
              <w:rPr>
                <w:rFonts w:ascii="Arial" w:hAnsi="Arial" w:cs="Arial"/>
                <w:b/>
                <w:sz w:val="24"/>
                <w:szCs w:val="24"/>
              </w:rPr>
            </w:pPr>
            <w:r w:rsidRPr="00D011EC">
              <w:rPr>
                <w:rFonts w:ascii="Arial" w:hAnsi="Arial" w:cs="Arial"/>
                <w:b/>
                <w:sz w:val="24"/>
                <w:szCs w:val="24"/>
              </w:rPr>
              <w:t>(primary source)</w:t>
            </w:r>
          </w:p>
        </w:tc>
        <w:tc>
          <w:tcPr>
            <w:tcW w:w="2602" w:type="dxa"/>
          </w:tcPr>
          <w:p w14:paraId="4203CED4" w14:textId="77777777" w:rsidR="00D01512" w:rsidRDefault="00D01512" w:rsidP="009E74AF">
            <w:pPr>
              <w:jc w:val="center"/>
              <w:rPr>
                <w:rFonts w:ascii="Arial" w:hAnsi="Arial" w:cs="Arial"/>
                <w:sz w:val="32"/>
                <w:szCs w:val="32"/>
              </w:rPr>
            </w:pPr>
            <w:r>
              <w:rPr>
                <w:rFonts w:ascii="Arial" w:hAnsi="Arial" w:cs="Arial"/>
                <w:sz w:val="32"/>
                <w:szCs w:val="32"/>
              </w:rPr>
              <w:t>Relevance</w:t>
            </w:r>
          </w:p>
        </w:tc>
        <w:tc>
          <w:tcPr>
            <w:tcW w:w="2543" w:type="dxa"/>
          </w:tcPr>
          <w:p w14:paraId="27226845" w14:textId="77777777" w:rsidR="00D01512" w:rsidRDefault="00D01512" w:rsidP="009E74AF">
            <w:pPr>
              <w:jc w:val="center"/>
              <w:rPr>
                <w:rFonts w:ascii="Arial" w:hAnsi="Arial" w:cs="Arial"/>
                <w:sz w:val="32"/>
                <w:szCs w:val="32"/>
              </w:rPr>
            </w:pPr>
            <w:r>
              <w:rPr>
                <w:rFonts w:ascii="Arial" w:hAnsi="Arial" w:cs="Arial"/>
                <w:sz w:val="32"/>
                <w:szCs w:val="32"/>
              </w:rPr>
              <w:t>Reliability</w:t>
            </w:r>
          </w:p>
        </w:tc>
        <w:tc>
          <w:tcPr>
            <w:tcW w:w="2500" w:type="dxa"/>
          </w:tcPr>
          <w:p w14:paraId="6E06DCF4" w14:textId="77777777" w:rsidR="00D01512" w:rsidRDefault="00D01512" w:rsidP="009E74AF">
            <w:pPr>
              <w:jc w:val="center"/>
              <w:rPr>
                <w:rFonts w:ascii="Arial" w:hAnsi="Arial" w:cs="Arial"/>
                <w:sz w:val="32"/>
                <w:szCs w:val="32"/>
              </w:rPr>
            </w:pPr>
            <w:r>
              <w:rPr>
                <w:rFonts w:ascii="Arial" w:hAnsi="Arial" w:cs="Arial"/>
                <w:sz w:val="32"/>
                <w:szCs w:val="32"/>
              </w:rPr>
              <w:t>Weight of Authority</w:t>
            </w:r>
          </w:p>
        </w:tc>
      </w:tr>
      <w:tr w:rsidR="00D01512" w14:paraId="76AAB4A8" w14:textId="77777777" w:rsidTr="009E74AF">
        <w:trPr>
          <w:trHeight w:val="548"/>
        </w:trPr>
        <w:tc>
          <w:tcPr>
            <w:tcW w:w="1983" w:type="dxa"/>
          </w:tcPr>
          <w:p w14:paraId="6F90F9E3" w14:textId="77777777" w:rsidR="00D01512" w:rsidRPr="00505907" w:rsidRDefault="00234F2F" w:rsidP="009E74AF">
            <w:pPr>
              <w:rPr>
                <w:rFonts w:ascii="Arial" w:hAnsi="Arial" w:cs="Arial"/>
                <w:b/>
                <w:i/>
                <w:sz w:val="20"/>
                <w:szCs w:val="20"/>
              </w:rPr>
            </w:pPr>
            <w:r w:rsidRPr="00505907">
              <w:rPr>
                <w:rFonts w:ascii="Arial" w:hAnsi="Arial" w:cs="Arial"/>
                <w:b/>
                <w:i/>
                <w:sz w:val="20"/>
                <w:szCs w:val="20"/>
                <w:lang w:val="en-US"/>
              </w:rPr>
              <w:t>Gillan and Quinton v. The United Kingdom (Application no. 4158/05)</w:t>
            </w:r>
            <w:r w:rsidR="00C660A3">
              <w:rPr>
                <w:rFonts w:ascii="Arial" w:hAnsi="Arial" w:cs="Arial"/>
                <w:b/>
                <w:i/>
                <w:sz w:val="20"/>
                <w:szCs w:val="20"/>
                <w:lang w:val="en-US"/>
              </w:rPr>
              <w:t xml:space="preserve"> (available online)</w:t>
            </w:r>
          </w:p>
        </w:tc>
        <w:tc>
          <w:tcPr>
            <w:tcW w:w="2602" w:type="dxa"/>
          </w:tcPr>
          <w:p w14:paraId="27CF5C5F" w14:textId="77777777" w:rsidR="00D01512" w:rsidRPr="00505907" w:rsidRDefault="00B066A6" w:rsidP="0010300C">
            <w:pPr>
              <w:jc w:val="center"/>
              <w:rPr>
                <w:rFonts w:ascii="Arial" w:hAnsi="Arial" w:cs="Arial"/>
                <w:sz w:val="20"/>
                <w:szCs w:val="20"/>
              </w:rPr>
            </w:pPr>
            <w:r>
              <w:rPr>
                <w:rFonts w:ascii="Arial" w:hAnsi="Arial" w:cs="Arial"/>
                <w:sz w:val="20"/>
                <w:szCs w:val="20"/>
              </w:rPr>
              <w:t xml:space="preserve">This case is extremely relevant to the </w:t>
            </w:r>
            <w:r w:rsidR="0010300C">
              <w:rPr>
                <w:rFonts w:ascii="Arial" w:hAnsi="Arial" w:cs="Arial"/>
                <w:sz w:val="20"/>
                <w:szCs w:val="20"/>
              </w:rPr>
              <w:t>topic</w:t>
            </w:r>
            <w:r>
              <w:rPr>
                <w:rFonts w:ascii="Arial" w:hAnsi="Arial" w:cs="Arial"/>
                <w:sz w:val="20"/>
                <w:szCs w:val="20"/>
              </w:rPr>
              <w:t xml:space="preserve"> in that it proves that the ECtHR has ta</w:t>
            </w:r>
            <w:r w:rsidR="00FE247E">
              <w:rPr>
                <w:rFonts w:ascii="Arial" w:hAnsi="Arial" w:cs="Arial"/>
                <w:sz w:val="20"/>
                <w:szCs w:val="20"/>
              </w:rPr>
              <w:t>ken a different approach from</w:t>
            </w:r>
            <w:r>
              <w:rPr>
                <w:rFonts w:ascii="Arial" w:hAnsi="Arial" w:cs="Arial"/>
                <w:sz w:val="20"/>
                <w:szCs w:val="20"/>
              </w:rPr>
              <w:t xml:space="preserve"> domestic courts in matters concerning human rights. In addition, it explains why the government enacted the PoFA 2012 </w:t>
            </w:r>
          </w:p>
        </w:tc>
        <w:tc>
          <w:tcPr>
            <w:tcW w:w="2543" w:type="dxa"/>
          </w:tcPr>
          <w:p w14:paraId="5917795C" w14:textId="77777777" w:rsidR="00D01512" w:rsidRPr="00505907" w:rsidRDefault="00D01512" w:rsidP="009E74AF">
            <w:pPr>
              <w:jc w:val="center"/>
              <w:rPr>
                <w:rFonts w:ascii="Arial" w:hAnsi="Arial" w:cs="Arial"/>
                <w:sz w:val="20"/>
                <w:szCs w:val="20"/>
              </w:rPr>
            </w:pPr>
          </w:p>
        </w:tc>
        <w:tc>
          <w:tcPr>
            <w:tcW w:w="2500" w:type="dxa"/>
          </w:tcPr>
          <w:p w14:paraId="749797E2" w14:textId="77777777" w:rsidR="00D01512" w:rsidRPr="00505907" w:rsidRDefault="00505907" w:rsidP="006F57C1">
            <w:pPr>
              <w:jc w:val="center"/>
              <w:rPr>
                <w:rFonts w:ascii="Arial" w:hAnsi="Arial" w:cs="Arial"/>
                <w:sz w:val="20"/>
                <w:szCs w:val="20"/>
              </w:rPr>
            </w:pPr>
            <w:r>
              <w:rPr>
                <w:rFonts w:ascii="Arial" w:hAnsi="Arial" w:cs="Arial"/>
                <w:sz w:val="20"/>
                <w:szCs w:val="20"/>
              </w:rPr>
              <w:t>European Court of Human Rights</w:t>
            </w:r>
            <w:r w:rsidR="00B066A6">
              <w:rPr>
                <w:rFonts w:ascii="Arial" w:hAnsi="Arial" w:cs="Arial"/>
                <w:sz w:val="20"/>
                <w:szCs w:val="20"/>
              </w:rPr>
              <w:t xml:space="preserve"> is very authoritative. It can overturn decisions made by domestic courts. However, it cannot impose anything on the UK. In fact, it is up to the government to enact legislation which is compatible with ECHR. If not, the courts can issue a declaration of incompatibility. As the essay suggests, domestic courts </w:t>
            </w:r>
            <w:r w:rsidR="00AE743C">
              <w:rPr>
                <w:rFonts w:ascii="Arial" w:hAnsi="Arial" w:cs="Arial"/>
                <w:sz w:val="20"/>
                <w:szCs w:val="20"/>
              </w:rPr>
              <w:t>have</w:t>
            </w:r>
            <w:r w:rsidR="00B066A6">
              <w:rPr>
                <w:rFonts w:ascii="Arial" w:hAnsi="Arial" w:cs="Arial"/>
                <w:sz w:val="20"/>
                <w:szCs w:val="20"/>
              </w:rPr>
              <w:t xml:space="preserve"> not issue</w:t>
            </w:r>
            <w:r w:rsidR="00AE743C">
              <w:rPr>
                <w:rFonts w:ascii="Arial" w:hAnsi="Arial" w:cs="Arial"/>
                <w:sz w:val="20"/>
                <w:szCs w:val="20"/>
              </w:rPr>
              <w:t>d</w:t>
            </w:r>
            <w:r w:rsidR="006F57C1">
              <w:rPr>
                <w:rFonts w:ascii="Arial" w:hAnsi="Arial" w:cs="Arial"/>
                <w:sz w:val="20"/>
                <w:szCs w:val="20"/>
              </w:rPr>
              <w:t xml:space="preserve"> such declaration.</w:t>
            </w:r>
          </w:p>
        </w:tc>
      </w:tr>
      <w:tr w:rsidR="00D01512" w14:paraId="6695118F" w14:textId="77777777" w:rsidTr="009E74AF">
        <w:trPr>
          <w:trHeight w:val="548"/>
        </w:trPr>
        <w:tc>
          <w:tcPr>
            <w:tcW w:w="1983" w:type="dxa"/>
          </w:tcPr>
          <w:p w14:paraId="0DE17F1B" w14:textId="77777777" w:rsidR="00D01512" w:rsidRDefault="00505907" w:rsidP="00505907">
            <w:pPr>
              <w:rPr>
                <w:rFonts w:ascii="Arial" w:hAnsi="Arial" w:cs="Arial"/>
                <w:b/>
                <w:i/>
                <w:sz w:val="20"/>
                <w:szCs w:val="20"/>
              </w:rPr>
            </w:pPr>
            <w:r>
              <w:t xml:space="preserve"> </w:t>
            </w:r>
            <w:r w:rsidRPr="00505907">
              <w:rPr>
                <w:rFonts w:ascii="Arial" w:hAnsi="Arial" w:cs="Arial"/>
                <w:b/>
                <w:i/>
                <w:sz w:val="20"/>
                <w:szCs w:val="20"/>
              </w:rPr>
              <w:t>R (on the application of Hicks) v Metropolitan Police Comr [2012] EWHC 1947 (Admin), [2012] All ER (D) 232 (Jul)</w:t>
            </w:r>
          </w:p>
          <w:p w14:paraId="1ED5DBD8" w14:textId="77777777" w:rsidR="00C660A3" w:rsidRPr="00505907" w:rsidRDefault="00C660A3" w:rsidP="00505907">
            <w:pPr>
              <w:rPr>
                <w:rFonts w:ascii="Arial" w:hAnsi="Arial" w:cs="Arial"/>
                <w:b/>
                <w:i/>
                <w:sz w:val="20"/>
                <w:szCs w:val="20"/>
              </w:rPr>
            </w:pPr>
            <w:r>
              <w:rPr>
                <w:rFonts w:ascii="Arial" w:hAnsi="Arial" w:cs="Arial"/>
                <w:b/>
                <w:i/>
                <w:sz w:val="20"/>
                <w:szCs w:val="20"/>
              </w:rPr>
              <w:t>(available online)</w:t>
            </w:r>
          </w:p>
        </w:tc>
        <w:tc>
          <w:tcPr>
            <w:tcW w:w="2602" w:type="dxa"/>
          </w:tcPr>
          <w:p w14:paraId="0D5FA751" w14:textId="77777777" w:rsidR="00D01512" w:rsidRPr="00505907" w:rsidRDefault="006F57C1" w:rsidP="00F9471D">
            <w:pPr>
              <w:jc w:val="center"/>
              <w:rPr>
                <w:rFonts w:ascii="Arial" w:hAnsi="Arial" w:cs="Arial"/>
                <w:sz w:val="20"/>
                <w:szCs w:val="20"/>
              </w:rPr>
            </w:pPr>
            <w:r>
              <w:rPr>
                <w:rFonts w:ascii="Arial" w:hAnsi="Arial" w:cs="Arial"/>
                <w:sz w:val="20"/>
                <w:szCs w:val="20"/>
              </w:rPr>
              <w:t>This case</w:t>
            </w:r>
            <w:r w:rsidR="00F9471D">
              <w:rPr>
                <w:rFonts w:ascii="Arial" w:hAnsi="Arial" w:cs="Arial"/>
                <w:sz w:val="20"/>
                <w:szCs w:val="20"/>
              </w:rPr>
              <w:t xml:space="preserve"> is relevant because it shows the approach that domestic courts have taken, in this case the High Court dealing with s.60 of the CJPOA 1994. Once again, the verdict is consistent with that of higher courts.</w:t>
            </w:r>
          </w:p>
        </w:tc>
        <w:tc>
          <w:tcPr>
            <w:tcW w:w="2543" w:type="dxa"/>
          </w:tcPr>
          <w:p w14:paraId="29A28A98" w14:textId="77777777" w:rsidR="00D01512" w:rsidRPr="00505907" w:rsidRDefault="00155E6D" w:rsidP="00155E6D">
            <w:pPr>
              <w:jc w:val="center"/>
              <w:rPr>
                <w:rFonts w:ascii="Arial" w:hAnsi="Arial" w:cs="Arial"/>
                <w:sz w:val="20"/>
                <w:szCs w:val="20"/>
              </w:rPr>
            </w:pPr>
            <w:r>
              <w:rPr>
                <w:rFonts w:ascii="Arial" w:hAnsi="Arial" w:cs="Arial"/>
                <w:sz w:val="20"/>
                <w:szCs w:val="20"/>
              </w:rPr>
              <w:t xml:space="preserve">Even though the Court of Appeal ([2014] EWCA Civ </w:t>
            </w:r>
            <w:r w:rsidRPr="00155E6D">
              <w:rPr>
                <w:rFonts w:ascii="Arial" w:hAnsi="Arial" w:cs="Arial"/>
                <w:sz w:val="20"/>
                <w:szCs w:val="20"/>
              </w:rPr>
              <w:t>3</w:t>
            </w:r>
            <w:r>
              <w:rPr>
                <w:rFonts w:ascii="Arial" w:hAnsi="Arial" w:cs="Arial"/>
                <w:sz w:val="20"/>
                <w:szCs w:val="20"/>
              </w:rPr>
              <w:t xml:space="preserve">) considered this case a couple of months ago, it dismissed the appeal and upheld the HC’s decision. </w:t>
            </w:r>
          </w:p>
        </w:tc>
        <w:tc>
          <w:tcPr>
            <w:tcW w:w="2500" w:type="dxa"/>
          </w:tcPr>
          <w:p w14:paraId="5BABBD96" w14:textId="77777777" w:rsidR="00D01512" w:rsidRPr="00505907" w:rsidRDefault="00F9471D" w:rsidP="00155E6D">
            <w:pPr>
              <w:jc w:val="center"/>
              <w:rPr>
                <w:rFonts w:ascii="Arial" w:hAnsi="Arial" w:cs="Arial"/>
                <w:sz w:val="20"/>
                <w:szCs w:val="20"/>
              </w:rPr>
            </w:pPr>
            <w:r>
              <w:rPr>
                <w:rFonts w:ascii="Arial" w:hAnsi="Arial" w:cs="Arial"/>
                <w:sz w:val="20"/>
                <w:szCs w:val="20"/>
              </w:rPr>
              <w:t xml:space="preserve">The High Court is quite authoritative since its decisions can be overruled only by the Court of Appeal and </w:t>
            </w:r>
            <w:r w:rsidR="00D4603A">
              <w:rPr>
                <w:rFonts w:ascii="Arial" w:hAnsi="Arial" w:cs="Arial"/>
                <w:sz w:val="20"/>
                <w:szCs w:val="20"/>
              </w:rPr>
              <w:t xml:space="preserve">the Supreme Court. </w:t>
            </w:r>
            <w:r w:rsidR="00155E6D">
              <w:rPr>
                <w:rFonts w:ascii="Arial" w:hAnsi="Arial" w:cs="Arial"/>
                <w:sz w:val="20"/>
                <w:szCs w:val="20"/>
              </w:rPr>
              <w:t xml:space="preserve">As in Roberts, the CoA has recently (2014) upheld the HC’s decision. </w:t>
            </w:r>
            <w:r w:rsidR="00BD4E5F">
              <w:rPr>
                <w:rFonts w:ascii="Arial" w:hAnsi="Arial" w:cs="Arial"/>
                <w:sz w:val="20"/>
                <w:szCs w:val="20"/>
              </w:rPr>
              <w:t>The question, which refers to Roberts as well, is: what will happen if it reaches the ECtHR stage?</w:t>
            </w:r>
          </w:p>
        </w:tc>
      </w:tr>
      <w:tr w:rsidR="00D01512" w14:paraId="4E3BE354" w14:textId="77777777" w:rsidTr="009E74AF">
        <w:trPr>
          <w:trHeight w:val="548"/>
        </w:trPr>
        <w:tc>
          <w:tcPr>
            <w:tcW w:w="1983" w:type="dxa"/>
          </w:tcPr>
          <w:p w14:paraId="7FCF94A1" w14:textId="77777777" w:rsidR="00D01512" w:rsidRPr="00505907" w:rsidRDefault="00505907" w:rsidP="009E74AF">
            <w:pPr>
              <w:rPr>
                <w:rFonts w:ascii="Arial" w:hAnsi="Arial" w:cs="Arial"/>
                <w:b/>
                <w:i/>
                <w:sz w:val="20"/>
                <w:szCs w:val="20"/>
              </w:rPr>
            </w:pPr>
            <w:r w:rsidRPr="00505907">
              <w:rPr>
                <w:rFonts w:ascii="Arial" w:hAnsi="Arial" w:cs="Arial"/>
                <w:b/>
                <w:i/>
                <w:sz w:val="20"/>
                <w:szCs w:val="20"/>
              </w:rPr>
              <w:t>R (European Roma Rights Centre) v Immigration Officer at Prague Airport [2004] UKHL 55</w:t>
            </w:r>
            <w:r w:rsidR="00C660A3">
              <w:rPr>
                <w:rFonts w:ascii="Arial" w:hAnsi="Arial" w:cs="Arial"/>
                <w:b/>
                <w:i/>
                <w:sz w:val="20"/>
                <w:szCs w:val="20"/>
              </w:rPr>
              <w:t xml:space="preserve"> </w:t>
            </w:r>
          </w:p>
        </w:tc>
        <w:tc>
          <w:tcPr>
            <w:tcW w:w="2602" w:type="dxa"/>
          </w:tcPr>
          <w:p w14:paraId="5985E417" w14:textId="77777777" w:rsidR="00D01512" w:rsidRPr="00505907" w:rsidRDefault="00141922" w:rsidP="00141922">
            <w:pPr>
              <w:jc w:val="center"/>
              <w:rPr>
                <w:rFonts w:ascii="Arial" w:hAnsi="Arial" w:cs="Arial"/>
                <w:sz w:val="20"/>
                <w:szCs w:val="20"/>
              </w:rPr>
            </w:pPr>
            <w:r>
              <w:rPr>
                <w:rFonts w:ascii="Arial" w:hAnsi="Arial" w:cs="Arial"/>
                <w:sz w:val="20"/>
                <w:szCs w:val="20"/>
              </w:rPr>
              <w:t xml:space="preserve">This case is not too relevant since </w:t>
            </w:r>
            <w:r w:rsidR="00BD4E5F">
              <w:rPr>
                <w:rFonts w:ascii="Arial" w:hAnsi="Arial" w:cs="Arial"/>
                <w:sz w:val="20"/>
                <w:szCs w:val="20"/>
              </w:rPr>
              <w:t xml:space="preserve">it is an asylum case. </w:t>
            </w:r>
            <w:r>
              <w:rPr>
                <w:rFonts w:ascii="Arial" w:hAnsi="Arial" w:cs="Arial"/>
                <w:sz w:val="20"/>
                <w:szCs w:val="20"/>
              </w:rPr>
              <w:t>However</w:t>
            </w:r>
            <w:r w:rsidR="00BD4E5F">
              <w:rPr>
                <w:rFonts w:ascii="Arial" w:hAnsi="Arial" w:cs="Arial"/>
                <w:sz w:val="20"/>
                <w:szCs w:val="20"/>
              </w:rPr>
              <w:t xml:space="preserve">, </w:t>
            </w:r>
            <w:r w:rsidR="001450E4">
              <w:rPr>
                <w:rFonts w:ascii="Arial" w:hAnsi="Arial" w:cs="Arial"/>
                <w:sz w:val="20"/>
                <w:szCs w:val="20"/>
              </w:rPr>
              <w:t xml:space="preserve">I found </w:t>
            </w:r>
            <w:r w:rsidR="00936A7B">
              <w:rPr>
                <w:rFonts w:ascii="Arial" w:hAnsi="Arial" w:cs="Arial"/>
                <w:sz w:val="20"/>
                <w:szCs w:val="20"/>
              </w:rPr>
              <w:t xml:space="preserve">Baroness Hale’s comment concerning minorities </w:t>
            </w:r>
            <w:r w:rsidR="001450E4">
              <w:rPr>
                <w:rFonts w:ascii="Arial" w:hAnsi="Arial" w:cs="Arial"/>
                <w:sz w:val="20"/>
                <w:szCs w:val="20"/>
              </w:rPr>
              <w:t xml:space="preserve">extremely </w:t>
            </w:r>
            <w:r w:rsidR="00936A7B">
              <w:rPr>
                <w:rFonts w:ascii="Arial" w:hAnsi="Arial" w:cs="Arial"/>
                <w:sz w:val="20"/>
                <w:szCs w:val="20"/>
              </w:rPr>
              <w:t>pertinent</w:t>
            </w:r>
            <w:r>
              <w:rPr>
                <w:rFonts w:ascii="Arial" w:hAnsi="Arial" w:cs="Arial"/>
                <w:sz w:val="20"/>
                <w:szCs w:val="20"/>
              </w:rPr>
              <w:t xml:space="preserve"> to the “discrimination” issue which stop and search powers have raised.</w:t>
            </w:r>
            <w:r w:rsidR="001450E4">
              <w:rPr>
                <w:rFonts w:ascii="Arial" w:hAnsi="Arial" w:cs="Arial"/>
                <w:sz w:val="20"/>
                <w:szCs w:val="20"/>
              </w:rPr>
              <w:t xml:space="preserve"> </w:t>
            </w:r>
          </w:p>
        </w:tc>
        <w:tc>
          <w:tcPr>
            <w:tcW w:w="2543" w:type="dxa"/>
          </w:tcPr>
          <w:p w14:paraId="008C2D16" w14:textId="77777777" w:rsidR="00D01512" w:rsidRPr="00505907" w:rsidRDefault="00D01512" w:rsidP="00A37843">
            <w:pPr>
              <w:jc w:val="center"/>
              <w:rPr>
                <w:rFonts w:ascii="Arial" w:hAnsi="Arial" w:cs="Arial"/>
                <w:sz w:val="20"/>
                <w:szCs w:val="20"/>
              </w:rPr>
            </w:pPr>
          </w:p>
        </w:tc>
        <w:tc>
          <w:tcPr>
            <w:tcW w:w="2500" w:type="dxa"/>
          </w:tcPr>
          <w:p w14:paraId="1CAA5998" w14:textId="77777777" w:rsidR="00D01512" w:rsidRPr="00505907" w:rsidRDefault="00BD4E5F" w:rsidP="009E74AF">
            <w:pPr>
              <w:jc w:val="center"/>
              <w:rPr>
                <w:rFonts w:ascii="Arial" w:hAnsi="Arial" w:cs="Arial"/>
                <w:sz w:val="20"/>
                <w:szCs w:val="20"/>
              </w:rPr>
            </w:pPr>
            <w:r>
              <w:rPr>
                <w:rFonts w:ascii="Arial" w:hAnsi="Arial" w:cs="Arial"/>
                <w:sz w:val="20"/>
                <w:szCs w:val="20"/>
              </w:rPr>
              <w:t>The case is extremely authoritative since it was decided by the House of Lords and it has still not reached the European stage.</w:t>
            </w:r>
            <w:r w:rsidR="00141922">
              <w:rPr>
                <w:rFonts w:ascii="Arial" w:hAnsi="Arial" w:cs="Arial"/>
                <w:sz w:val="20"/>
                <w:szCs w:val="20"/>
              </w:rPr>
              <w:t xml:space="preserve"> Baroness Hale’s view, besides being quite popular, is also influential and eminent.</w:t>
            </w:r>
          </w:p>
        </w:tc>
      </w:tr>
      <w:tr w:rsidR="00D01512" w14:paraId="64B16952" w14:textId="77777777" w:rsidTr="009E74AF">
        <w:trPr>
          <w:trHeight w:val="548"/>
        </w:trPr>
        <w:tc>
          <w:tcPr>
            <w:tcW w:w="1983" w:type="dxa"/>
          </w:tcPr>
          <w:p w14:paraId="6A8CDAF4" w14:textId="77777777" w:rsidR="00D01512" w:rsidRPr="00505907" w:rsidRDefault="00505907" w:rsidP="009E74AF">
            <w:pPr>
              <w:rPr>
                <w:rFonts w:ascii="Arial" w:hAnsi="Arial" w:cs="Arial"/>
                <w:b/>
                <w:i/>
                <w:sz w:val="20"/>
                <w:szCs w:val="20"/>
              </w:rPr>
            </w:pPr>
            <w:r w:rsidRPr="00505907">
              <w:rPr>
                <w:rFonts w:ascii="Arial" w:hAnsi="Arial" w:cs="Arial"/>
                <w:b/>
                <w:i/>
                <w:sz w:val="20"/>
                <w:szCs w:val="20"/>
              </w:rPr>
              <w:t>R (on the application of Gillan and another) v. Commissioner of Police for the Metropolis [2006] UKHL 12</w:t>
            </w:r>
            <w:r w:rsidR="00C660A3">
              <w:rPr>
                <w:rFonts w:ascii="Arial" w:hAnsi="Arial" w:cs="Arial"/>
                <w:b/>
                <w:i/>
                <w:sz w:val="20"/>
                <w:szCs w:val="20"/>
              </w:rPr>
              <w:t xml:space="preserve"> (available online)</w:t>
            </w:r>
          </w:p>
        </w:tc>
        <w:tc>
          <w:tcPr>
            <w:tcW w:w="2602" w:type="dxa"/>
          </w:tcPr>
          <w:p w14:paraId="38B8A519" w14:textId="77777777" w:rsidR="00D01512" w:rsidRPr="00505907" w:rsidRDefault="00BA4D1C" w:rsidP="001C7C65">
            <w:pPr>
              <w:jc w:val="center"/>
              <w:rPr>
                <w:rFonts w:ascii="Arial" w:hAnsi="Arial" w:cs="Arial"/>
                <w:sz w:val="20"/>
                <w:szCs w:val="20"/>
              </w:rPr>
            </w:pPr>
            <w:r>
              <w:rPr>
                <w:rFonts w:ascii="Arial" w:hAnsi="Arial" w:cs="Arial"/>
                <w:sz w:val="20"/>
                <w:szCs w:val="20"/>
              </w:rPr>
              <w:t xml:space="preserve">This is probably the most important </w:t>
            </w:r>
            <w:r w:rsidR="00FE247E">
              <w:rPr>
                <w:rFonts w:ascii="Arial" w:hAnsi="Arial" w:cs="Arial"/>
                <w:sz w:val="20"/>
                <w:szCs w:val="20"/>
              </w:rPr>
              <w:t>(domestic) case</w:t>
            </w:r>
            <w:r>
              <w:rPr>
                <w:rFonts w:ascii="Arial" w:hAnsi="Arial" w:cs="Arial"/>
                <w:sz w:val="20"/>
                <w:szCs w:val="20"/>
              </w:rPr>
              <w:t xml:space="preserve"> since it shows that the HoL agreed with lower courts and with the executive and legislative branches. </w:t>
            </w:r>
          </w:p>
        </w:tc>
        <w:tc>
          <w:tcPr>
            <w:tcW w:w="2543" w:type="dxa"/>
          </w:tcPr>
          <w:p w14:paraId="1EA27D7C" w14:textId="77777777" w:rsidR="00D01512" w:rsidRPr="00505907" w:rsidRDefault="00D01512" w:rsidP="009E74AF">
            <w:pPr>
              <w:jc w:val="center"/>
              <w:rPr>
                <w:rFonts w:ascii="Arial" w:hAnsi="Arial" w:cs="Arial"/>
                <w:sz w:val="20"/>
                <w:szCs w:val="20"/>
              </w:rPr>
            </w:pPr>
          </w:p>
        </w:tc>
        <w:tc>
          <w:tcPr>
            <w:tcW w:w="2500" w:type="dxa"/>
          </w:tcPr>
          <w:p w14:paraId="5AB4C9DF" w14:textId="77777777" w:rsidR="00D01512" w:rsidRPr="00505907" w:rsidRDefault="00BA4D1C" w:rsidP="009E74AF">
            <w:pPr>
              <w:jc w:val="center"/>
              <w:rPr>
                <w:rFonts w:ascii="Arial" w:hAnsi="Arial" w:cs="Arial"/>
                <w:sz w:val="20"/>
                <w:szCs w:val="20"/>
              </w:rPr>
            </w:pPr>
            <w:r>
              <w:rPr>
                <w:rFonts w:ascii="Arial" w:hAnsi="Arial" w:cs="Arial"/>
                <w:sz w:val="20"/>
                <w:szCs w:val="20"/>
              </w:rPr>
              <w:t>The court in question (the HoL) is the most authoritative of the UK. Therefore, at domestic level, no court is allowed to challenge its decision</w:t>
            </w:r>
            <w:r w:rsidR="00DF040E">
              <w:rPr>
                <w:rFonts w:ascii="Arial" w:hAnsi="Arial" w:cs="Arial"/>
                <w:sz w:val="20"/>
                <w:szCs w:val="20"/>
              </w:rPr>
              <w:t>s</w:t>
            </w:r>
            <w:r>
              <w:rPr>
                <w:rFonts w:ascii="Arial" w:hAnsi="Arial" w:cs="Arial"/>
                <w:sz w:val="20"/>
                <w:szCs w:val="20"/>
              </w:rPr>
              <w:t xml:space="preserve">. However, the ratio decidendi of the case was disregarded by the ECtHR </w:t>
            </w:r>
            <w:r w:rsidR="002634B1">
              <w:rPr>
                <w:rFonts w:ascii="Arial" w:hAnsi="Arial" w:cs="Arial"/>
                <w:sz w:val="20"/>
                <w:szCs w:val="20"/>
              </w:rPr>
              <w:t>which, by contrast, held that stop and search powers under s. 44-47 interfered with article 8.</w:t>
            </w:r>
          </w:p>
        </w:tc>
      </w:tr>
      <w:tr w:rsidR="00D01512" w14:paraId="1BAB3088" w14:textId="77777777" w:rsidTr="009E74AF">
        <w:trPr>
          <w:trHeight w:val="548"/>
        </w:trPr>
        <w:tc>
          <w:tcPr>
            <w:tcW w:w="1983" w:type="dxa"/>
          </w:tcPr>
          <w:p w14:paraId="05224B8E" w14:textId="77777777" w:rsidR="00D01512" w:rsidRPr="00505907" w:rsidRDefault="00505907" w:rsidP="009E74AF">
            <w:pPr>
              <w:rPr>
                <w:rFonts w:ascii="Arial" w:hAnsi="Arial" w:cs="Arial"/>
                <w:b/>
                <w:i/>
                <w:sz w:val="20"/>
                <w:szCs w:val="20"/>
              </w:rPr>
            </w:pPr>
            <w:r w:rsidRPr="00505907">
              <w:rPr>
                <w:rFonts w:ascii="Arial" w:hAnsi="Arial" w:cs="Arial"/>
                <w:b/>
                <w:i/>
                <w:sz w:val="20"/>
                <w:szCs w:val="20"/>
              </w:rPr>
              <w:t>R (on the application of Roberts) v The Commissioner of the Metropolitan Police [2012] EWHC 1977 (Admin)</w:t>
            </w:r>
            <w:r w:rsidR="00C660A3">
              <w:rPr>
                <w:rFonts w:ascii="Arial" w:hAnsi="Arial" w:cs="Arial"/>
                <w:b/>
                <w:i/>
                <w:sz w:val="20"/>
                <w:szCs w:val="20"/>
              </w:rPr>
              <w:t xml:space="preserve"> (available online)</w:t>
            </w:r>
          </w:p>
        </w:tc>
        <w:tc>
          <w:tcPr>
            <w:tcW w:w="2602" w:type="dxa"/>
          </w:tcPr>
          <w:p w14:paraId="0FB9351F" w14:textId="77777777" w:rsidR="00D01512" w:rsidRPr="00505907" w:rsidRDefault="004A3918" w:rsidP="004A3918">
            <w:pPr>
              <w:jc w:val="center"/>
              <w:rPr>
                <w:rFonts w:ascii="Arial" w:hAnsi="Arial" w:cs="Arial"/>
                <w:sz w:val="20"/>
                <w:szCs w:val="20"/>
              </w:rPr>
            </w:pPr>
            <w:r>
              <w:rPr>
                <w:rFonts w:ascii="Arial" w:hAnsi="Arial" w:cs="Arial"/>
                <w:sz w:val="20"/>
                <w:szCs w:val="20"/>
              </w:rPr>
              <w:t>This case is very relevant as it illustrates tha</w:t>
            </w:r>
            <w:r w:rsidR="00A234CC">
              <w:rPr>
                <w:rFonts w:ascii="Arial" w:hAnsi="Arial" w:cs="Arial"/>
                <w:sz w:val="20"/>
                <w:szCs w:val="20"/>
              </w:rPr>
              <w:t>t the High Court, despite the EC</w:t>
            </w:r>
            <w:r>
              <w:rPr>
                <w:rFonts w:ascii="Arial" w:hAnsi="Arial" w:cs="Arial"/>
                <w:sz w:val="20"/>
                <w:szCs w:val="20"/>
              </w:rPr>
              <w:t>tHR’s ruling in Gillan, held that section 60 of the CJPOA 1994 did not interfere with articles 5 and 8 and that it was not discriminatory, dismissing Roberts’ appeal.</w:t>
            </w:r>
          </w:p>
        </w:tc>
        <w:tc>
          <w:tcPr>
            <w:tcW w:w="2543" w:type="dxa"/>
          </w:tcPr>
          <w:p w14:paraId="4F379205" w14:textId="77777777" w:rsidR="00D01512" w:rsidRPr="00505907" w:rsidRDefault="00D01512" w:rsidP="009E74AF">
            <w:pPr>
              <w:jc w:val="center"/>
              <w:rPr>
                <w:rFonts w:ascii="Arial" w:hAnsi="Arial" w:cs="Arial"/>
                <w:sz w:val="20"/>
                <w:szCs w:val="20"/>
              </w:rPr>
            </w:pPr>
          </w:p>
        </w:tc>
        <w:tc>
          <w:tcPr>
            <w:tcW w:w="2500" w:type="dxa"/>
          </w:tcPr>
          <w:p w14:paraId="21E9A6A8" w14:textId="77777777" w:rsidR="00D01512" w:rsidRPr="00505907" w:rsidRDefault="00A234CC" w:rsidP="00A234CC">
            <w:pPr>
              <w:jc w:val="center"/>
              <w:rPr>
                <w:rFonts w:ascii="Arial" w:hAnsi="Arial" w:cs="Arial"/>
                <w:sz w:val="20"/>
                <w:szCs w:val="20"/>
              </w:rPr>
            </w:pPr>
            <w:r>
              <w:rPr>
                <w:rFonts w:ascii="Arial" w:hAnsi="Arial" w:cs="Arial"/>
                <w:sz w:val="20"/>
                <w:szCs w:val="20"/>
              </w:rPr>
              <w:t xml:space="preserve">The Queen Bench Division </w:t>
            </w:r>
            <w:r w:rsidR="00DF040E">
              <w:rPr>
                <w:rFonts w:ascii="Arial" w:hAnsi="Arial" w:cs="Arial"/>
                <w:sz w:val="20"/>
                <w:szCs w:val="20"/>
              </w:rPr>
              <w:t xml:space="preserve">is </w:t>
            </w:r>
            <w:r>
              <w:rPr>
                <w:rFonts w:ascii="Arial" w:hAnsi="Arial" w:cs="Arial"/>
                <w:sz w:val="20"/>
                <w:szCs w:val="20"/>
              </w:rPr>
              <w:t xml:space="preserve">as authoritative as the High Court, therefore it can only be overruled by Court of Appeal and Supreme Court. </w:t>
            </w:r>
          </w:p>
        </w:tc>
      </w:tr>
      <w:tr w:rsidR="00505907" w14:paraId="320E771D" w14:textId="77777777" w:rsidTr="009E74AF">
        <w:trPr>
          <w:trHeight w:val="548"/>
        </w:trPr>
        <w:tc>
          <w:tcPr>
            <w:tcW w:w="1983" w:type="dxa"/>
          </w:tcPr>
          <w:p w14:paraId="11719F69" w14:textId="77777777" w:rsidR="00505907" w:rsidRDefault="00505907" w:rsidP="009E74AF">
            <w:pPr>
              <w:rPr>
                <w:rFonts w:ascii="Arial" w:hAnsi="Arial" w:cs="Arial"/>
                <w:b/>
                <w:i/>
                <w:sz w:val="20"/>
                <w:szCs w:val="20"/>
              </w:rPr>
            </w:pPr>
            <w:r w:rsidRPr="00505907">
              <w:rPr>
                <w:rFonts w:ascii="Arial" w:hAnsi="Arial" w:cs="Arial"/>
                <w:b/>
                <w:i/>
                <w:sz w:val="20"/>
                <w:szCs w:val="20"/>
              </w:rPr>
              <w:t>R (on the application of Roberts) v Commissioner of Police of the Metropolis and others [2014] All ER (D) 58</w:t>
            </w:r>
          </w:p>
          <w:p w14:paraId="4EFD35FE" w14:textId="77777777" w:rsidR="00C660A3" w:rsidRPr="00505907" w:rsidRDefault="00C660A3" w:rsidP="009E74AF">
            <w:pPr>
              <w:rPr>
                <w:rFonts w:ascii="Arial" w:hAnsi="Arial" w:cs="Arial"/>
                <w:b/>
                <w:i/>
                <w:sz w:val="20"/>
                <w:szCs w:val="20"/>
              </w:rPr>
            </w:pPr>
            <w:r>
              <w:rPr>
                <w:rFonts w:ascii="Arial" w:hAnsi="Arial" w:cs="Arial"/>
                <w:b/>
                <w:i/>
                <w:sz w:val="20"/>
                <w:szCs w:val="20"/>
              </w:rPr>
              <w:t>(available online)</w:t>
            </w:r>
          </w:p>
        </w:tc>
        <w:tc>
          <w:tcPr>
            <w:tcW w:w="2602" w:type="dxa"/>
          </w:tcPr>
          <w:p w14:paraId="630D299D" w14:textId="77777777" w:rsidR="00505907" w:rsidRPr="00505907" w:rsidRDefault="00A234CC" w:rsidP="009E74AF">
            <w:pPr>
              <w:jc w:val="center"/>
              <w:rPr>
                <w:rFonts w:ascii="Arial" w:hAnsi="Arial" w:cs="Arial"/>
                <w:sz w:val="20"/>
                <w:szCs w:val="20"/>
              </w:rPr>
            </w:pPr>
            <w:r>
              <w:rPr>
                <w:rFonts w:ascii="Arial" w:hAnsi="Arial" w:cs="Arial"/>
                <w:sz w:val="20"/>
                <w:szCs w:val="20"/>
              </w:rPr>
              <w:t xml:space="preserve">Hicks and Roberts’ situations are quite similar. Both </w:t>
            </w:r>
            <w:r w:rsidR="0049149A">
              <w:rPr>
                <w:rFonts w:ascii="Arial" w:hAnsi="Arial" w:cs="Arial"/>
                <w:sz w:val="20"/>
                <w:szCs w:val="20"/>
              </w:rPr>
              <w:t xml:space="preserve">were </w:t>
            </w:r>
            <w:r>
              <w:rPr>
                <w:rFonts w:ascii="Arial" w:hAnsi="Arial" w:cs="Arial"/>
                <w:sz w:val="20"/>
                <w:szCs w:val="20"/>
              </w:rPr>
              <w:t xml:space="preserve">judged by High Court/ QBD in 2012 and both </w:t>
            </w:r>
            <w:r w:rsidR="0049149A">
              <w:rPr>
                <w:rFonts w:ascii="Arial" w:hAnsi="Arial" w:cs="Arial"/>
                <w:sz w:val="20"/>
                <w:szCs w:val="20"/>
              </w:rPr>
              <w:t xml:space="preserve">were </w:t>
            </w:r>
            <w:r>
              <w:rPr>
                <w:rFonts w:ascii="Arial" w:hAnsi="Arial" w:cs="Arial"/>
                <w:sz w:val="20"/>
                <w:szCs w:val="20"/>
              </w:rPr>
              <w:t>recently heard by the Court of Appeal. Their appeals were both dismissed and they both concern section 60. This case helped me support the argument that domestic courts are taking consistent approach regardless of the ruling in Gillan.</w:t>
            </w:r>
          </w:p>
        </w:tc>
        <w:tc>
          <w:tcPr>
            <w:tcW w:w="2543" w:type="dxa"/>
          </w:tcPr>
          <w:p w14:paraId="0B024BCC" w14:textId="77777777" w:rsidR="00505907" w:rsidRPr="00505907" w:rsidRDefault="00505907" w:rsidP="009E74AF">
            <w:pPr>
              <w:jc w:val="center"/>
              <w:rPr>
                <w:rFonts w:ascii="Arial" w:hAnsi="Arial" w:cs="Arial"/>
                <w:sz w:val="20"/>
                <w:szCs w:val="20"/>
              </w:rPr>
            </w:pPr>
          </w:p>
        </w:tc>
        <w:tc>
          <w:tcPr>
            <w:tcW w:w="2500" w:type="dxa"/>
          </w:tcPr>
          <w:p w14:paraId="722289D4" w14:textId="77777777" w:rsidR="00505907" w:rsidRPr="00505907" w:rsidRDefault="00135526" w:rsidP="0049149A">
            <w:pPr>
              <w:jc w:val="center"/>
              <w:rPr>
                <w:rFonts w:ascii="Arial" w:hAnsi="Arial" w:cs="Arial"/>
                <w:sz w:val="20"/>
                <w:szCs w:val="20"/>
              </w:rPr>
            </w:pPr>
            <w:r>
              <w:rPr>
                <w:rFonts w:ascii="Arial" w:hAnsi="Arial" w:cs="Arial"/>
                <w:sz w:val="20"/>
                <w:szCs w:val="20"/>
              </w:rPr>
              <w:t xml:space="preserve">A Court of Appeal decision is definitely authoritative.  </w:t>
            </w:r>
            <w:r w:rsidR="0049149A">
              <w:rPr>
                <w:rFonts w:ascii="Arial" w:hAnsi="Arial" w:cs="Arial"/>
                <w:sz w:val="20"/>
                <w:szCs w:val="20"/>
              </w:rPr>
              <w:t>W</w:t>
            </w:r>
            <w:r>
              <w:rPr>
                <w:rFonts w:ascii="Arial" w:hAnsi="Arial" w:cs="Arial"/>
                <w:sz w:val="20"/>
                <w:szCs w:val="20"/>
              </w:rPr>
              <w:t>hat if this case is appealed to the SC</w:t>
            </w:r>
            <w:r w:rsidR="0049149A">
              <w:rPr>
                <w:rFonts w:ascii="Arial" w:hAnsi="Arial" w:cs="Arial"/>
                <w:sz w:val="20"/>
                <w:szCs w:val="20"/>
              </w:rPr>
              <w:t xml:space="preserve"> (same applies to Hicks)</w:t>
            </w:r>
            <w:r>
              <w:rPr>
                <w:rFonts w:ascii="Arial" w:hAnsi="Arial" w:cs="Arial"/>
                <w:sz w:val="20"/>
                <w:szCs w:val="20"/>
              </w:rPr>
              <w:t xml:space="preserve">? What if it reaches the Court in Strasbourg? Will domestic courts try to comply with the ECtHR? </w:t>
            </w:r>
            <w:r w:rsidR="008642C1">
              <w:rPr>
                <w:rFonts w:ascii="Arial" w:hAnsi="Arial" w:cs="Arial"/>
                <w:sz w:val="20"/>
                <w:szCs w:val="20"/>
              </w:rPr>
              <w:t>Will they change their attitude as the executive and legislative have star</w:t>
            </w:r>
            <w:r w:rsidR="00660F59">
              <w:rPr>
                <w:rFonts w:ascii="Arial" w:hAnsi="Arial" w:cs="Arial"/>
                <w:sz w:val="20"/>
                <w:szCs w:val="20"/>
              </w:rPr>
              <w:t>t</w:t>
            </w:r>
            <w:r w:rsidR="008642C1">
              <w:rPr>
                <w:rFonts w:ascii="Arial" w:hAnsi="Arial" w:cs="Arial"/>
                <w:sz w:val="20"/>
                <w:szCs w:val="20"/>
              </w:rPr>
              <w:t>ed doing?</w:t>
            </w:r>
            <w:r>
              <w:rPr>
                <w:rFonts w:ascii="Arial" w:hAnsi="Arial" w:cs="Arial"/>
                <w:sz w:val="20"/>
                <w:szCs w:val="20"/>
              </w:rPr>
              <w:t xml:space="preserve"> </w:t>
            </w:r>
          </w:p>
        </w:tc>
      </w:tr>
      <w:tr w:rsidR="00505907" w14:paraId="3B97007A" w14:textId="77777777" w:rsidTr="009E74AF">
        <w:trPr>
          <w:trHeight w:val="548"/>
        </w:trPr>
        <w:tc>
          <w:tcPr>
            <w:tcW w:w="1983" w:type="dxa"/>
          </w:tcPr>
          <w:p w14:paraId="6FFC58FE" w14:textId="77777777" w:rsidR="00505907" w:rsidRDefault="00505907" w:rsidP="009E74AF">
            <w:pPr>
              <w:rPr>
                <w:rFonts w:ascii="Arial" w:hAnsi="Arial" w:cs="Arial"/>
                <w:b/>
                <w:i/>
                <w:sz w:val="20"/>
                <w:szCs w:val="20"/>
              </w:rPr>
            </w:pPr>
            <w:r w:rsidRPr="00505907">
              <w:rPr>
                <w:rFonts w:ascii="Arial" w:hAnsi="Arial" w:cs="Arial"/>
                <w:b/>
                <w:i/>
                <w:sz w:val="20"/>
                <w:szCs w:val="20"/>
              </w:rPr>
              <w:t>Secretary of State for the Home Department v Rehman [2001] UKHL 47</w:t>
            </w:r>
          </w:p>
          <w:p w14:paraId="3EEEF0B9" w14:textId="77777777" w:rsidR="00C660A3" w:rsidRPr="00505907" w:rsidRDefault="00C660A3" w:rsidP="009E74AF">
            <w:pPr>
              <w:rPr>
                <w:rFonts w:ascii="Arial" w:hAnsi="Arial" w:cs="Arial"/>
                <w:b/>
                <w:i/>
                <w:sz w:val="20"/>
                <w:szCs w:val="20"/>
              </w:rPr>
            </w:pPr>
            <w:r>
              <w:rPr>
                <w:rFonts w:ascii="Arial" w:hAnsi="Arial" w:cs="Arial"/>
                <w:b/>
                <w:i/>
                <w:sz w:val="20"/>
                <w:szCs w:val="20"/>
              </w:rPr>
              <w:t>(available online)</w:t>
            </w:r>
          </w:p>
        </w:tc>
        <w:tc>
          <w:tcPr>
            <w:tcW w:w="2602" w:type="dxa"/>
          </w:tcPr>
          <w:p w14:paraId="6F95CB23" w14:textId="77777777" w:rsidR="00505907" w:rsidRPr="00505907" w:rsidRDefault="004E59AE" w:rsidP="009E74AF">
            <w:pPr>
              <w:jc w:val="center"/>
              <w:rPr>
                <w:rFonts w:ascii="Arial" w:hAnsi="Arial" w:cs="Arial"/>
                <w:sz w:val="20"/>
                <w:szCs w:val="20"/>
              </w:rPr>
            </w:pPr>
            <w:r>
              <w:rPr>
                <w:rFonts w:ascii="Arial" w:hAnsi="Arial" w:cs="Arial"/>
                <w:sz w:val="20"/>
                <w:szCs w:val="20"/>
              </w:rPr>
              <w:t xml:space="preserve">This case </w:t>
            </w:r>
            <w:r w:rsidR="00660F59">
              <w:rPr>
                <w:rFonts w:ascii="Arial" w:hAnsi="Arial" w:cs="Arial"/>
                <w:sz w:val="20"/>
                <w:szCs w:val="20"/>
              </w:rPr>
              <w:t>is a national security one, therefore it is quite relevant to the topic of the essay. However, it provides some interesting observations with regards to the separation of powers and the role of the judiciary when human rights matters arise. Lord Hoffman’s judgment was particularly helpful in this respect [para 50]</w:t>
            </w:r>
          </w:p>
        </w:tc>
        <w:tc>
          <w:tcPr>
            <w:tcW w:w="2543" w:type="dxa"/>
          </w:tcPr>
          <w:p w14:paraId="609EE710" w14:textId="77777777" w:rsidR="00505907" w:rsidRPr="00505907" w:rsidRDefault="00505907" w:rsidP="00424611">
            <w:pPr>
              <w:jc w:val="center"/>
              <w:rPr>
                <w:rFonts w:ascii="Arial" w:hAnsi="Arial" w:cs="Arial"/>
                <w:sz w:val="20"/>
                <w:szCs w:val="20"/>
              </w:rPr>
            </w:pPr>
          </w:p>
        </w:tc>
        <w:tc>
          <w:tcPr>
            <w:tcW w:w="2500" w:type="dxa"/>
          </w:tcPr>
          <w:p w14:paraId="4B1339A3" w14:textId="77777777" w:rsidR="00505907" w:rsidRPr="00505907" w:rsidRDefault="0049149A" w:rsidP="009E74AF">
            <w:pPr>
              <w:jc w:val="center"/>
              <w:rPr>
                <w:rFonts w:ascii="Arial" w:hAnsi="Arial" w:cs="Arial"/>
                <w:sz w:val="20"/>
                <w:szCs w:val="20"/>
              </w:rPr>
            </w:pPr>
            <w:r>
              <w:rPr>
                <w:rFonts w:ascii="Arial" w:hAnsi="Arial" w:cs="Arial"/>
                <w:sz w:val="20"/>
                <w:szCs w:val="20"/>
              </w:rPr>
              <w:t>The House of Lords was</w:t>
            </w:r>
            <w:r w:rsidR="00F22972">
              <w:rPr>
                <w:rFonts w:ascii="Arial" w:hAnsi="Arial" w:cs="Arial"/>
                <w:sz w:val="20"/>
                <w:szCs w:val="20"/>
              </w:rPr>
              <w:t xml:space="preserve"> the most authoritative court in</w:t>
            </w:r>
            <w:r>
              <w:rPr>
                <w:rFonts w:ascii="Arial" w:hAnsi="Arial" w:cs="Arial"/>
                <w:sz w:val="20"/>
                <w:szCs w:val="20"/>
              </w:rPr>
              <w:t xml:space="preserve"> the UK</w:t>
            </w:r>
            <w:r w:rsidR="00265032">
              <w:rPr>
                <w:rFonts w:ascii="Arial" w:hAnsi="Arial" w:cs="Arial"/>
                <w:sz w:val="20"/>
                <w:szCs w:val="20"/>
              </w:rPr>
              <w:t xml:space="preserve">. </w:t>
            </w:r>
            <w:r>
              <w:rPr>
                <w:rFonts w:ascii="Arial" w:hAnsi="Arial" w:cs="Arial"/>
                <w:sz w:val="20"/>
                <w:szCs w:val="20"/>
              </w:rPr>
              <w:t>Lord Hoffman’s view, though not being universally shared (as pointed out in the essay) is absolutely authoritative and provides</w:t>
            </w:r>
            <w:r w:rsidR="004C3110">
              <w:rPr>
                <w:rFonts w:ascii="Arial" w:hAnsi="Arial" w:cs="Arial"/>
                <w:sz w:val="20"/>
                <w:szCs w:val="20"/>
              </w:rPr>
              <w:t xml:space="preserve"> an</w:t>
            </w:r>
            <w:r>
              <w:rPr>
                <w:rFonts w:ascii="Arial" w:hAnsi="Arial" w:cs="Arial"/>
                <w:sz w:val="20"/>
                <w:szCs w:val="20"/>
              </w:rPr>
              <w:t xml:space="preserve"> informed opinion on the British constitution.</w:t>
            </w:r>
          </w:p>
        </w:tc>
      </w:tr>
    </w:tbl>
    <w:p w14:paraId="2AFA0F21" w14:textId="77777777" w:rsidR="00505907" w:rsidRPr="00505907" w:rsidRDefault="00505907" w:rsidP="00505907">
      <w:pPr>
        <w:ind w:left="1417"/>
        <w:rPr>
          <w:rFonts w:ascii="Arial" w:hAnsi="Arial" w:cs="Arial"/>
          <w:sz w:val="32"/>
          <w:szCs w:val="32"/>
        </w:rPr>
      </w:pPr>
    </w:p>
    <w:p w14:paraId="5623316A" w14:textId="77777777" w:rsidR="00B95FF8" w:rsidRDefault="00B95FF8" w:rsidP="00505907">
      <w:pPr>
        <w:ind w:left="1417"/>
        <w:rPr>
          <w:rFonts w:ascii="Arial" w:hAnsi="Arial" w:cs="Arial"/>
          <w:sz w:val="32"/>
          <w:szCs w:val="32"/>
        </w:rPr>
      </w:pPr>
    </w:p>
    <w:tbl>
      <w:tblPr>
        <w:tblStyle w:val="GridTableLight"/>
        <w:tblW w:w="0" w:type="auto"/>
        <w:tblLook w:val="04A0" w:firstRow="1" w:lastRow="0" w:firstColumn="1" w:lastColumn="0" w:noHBand="0" w:noVBand="1"/>
      </w:tblPr>
      <w:tblGrid>
        <w:gridCol w:w="2407"/>
        <w:gridCol w:w="2407"/>
        <w:gridCol w:w="2407"/>
        <w:gridCol w:w="2407"/>
      </w:tblGrid>
      <w:tr w:rsidR="009E74AF" w14:paraId="3CF20F4D" w14:textId="77777777" w:rsidTr="009E74AF">
        <w:tc>
          <w:tcPr>
            <w:tcW w:w="2407" w:type="dxa"/>
          </w:tcPr>
          <w:p w14:paraId="1F2B93D7" w14:textId="77777777" w:rsidR="009E74AF" w:rsidRDefault="009E74AF" w:rsidP="009E74AF">
            <w:pPr>
              <w:jc w:val="center"/>
              <w:rPr>
                <w:rFonts w:ascii="Arial" w:hAnsi="Arial" w:cs="Arial"/>
                <w:b/>
                <w:sz w:val="32"/>
                <w:szCs w:val="32"/>
              </w:rPr>
            </w:pPr>
            <w:r w:rsidRPr="009E74AF">
              <w:rPr>
                <w:rFonts w:ascii="Arial" w:hAnsi="Arial" w:cs="Arial"/>
                <w:b/>
                <w:sz w:val="32"/>
                <w:szCs w:val="32"/>
              </w:rPr>
              <w:t>Journals</w:t>
            </w:r>
          </w:p>
          <w:p w14:paraId="65D35AE5" w14:textId="77777777" w:rsidR="009E74AF" w:rsidRPr="009E74AF" w:rsidRDefault="009E74AF" w:rsidP="009E74AF">
            <w:pPr>
              <w:jc w:val="center"/>
              <w:rPr>
                <w:rFonts w:ascii="Arial" w:hAnsi="Arial" w:cs="Arial"/>
                <w:b/>
                <w:sz w:val="32"/>
                <w:szCs w:val="32"/>
              </w:rPr>
            </w:pPr>
            <w:r w:rsidRPr="009E74AF">
              <w:rPr>
                <w:rFonts w:ascii="Arial" w:hAnsi="Arial" w:cs="Arial"/>
                <w:b/>
                <w:sz w:val="24"/>
                <w:szCs w:val="24"/>
              </w:rPr>
              <w:t>(secondary sources)</w:t>
            </w:r>
          </w:p>
        </w:tc>
        <w:tc>
          <w:tcPr>
            <w:tcW w:w="2407" w:type="dxa"/>
          </w:tcPr>
          <w:p w14:paraId="78530171" w14:textId="77777777" w:rsidR="009E74AF" w:rsidRDefault="009E74AF" w:rsidP="009E74AF">
            <w:pPr>
              <w:jc w:val="center"/>
              <w:rPr>
                <w:rFonts w:ascii="Arial" w:hAnsi="Arial" w:cs="Arial"/>
                <w:sz w:val="32"/>
                <w:szCs w:val="32"/>
              </w:rPr>
            </w:pPr>
            <w:r>
              <w:rPr>
                <w:rFonts w:ascii="Arial" w:hAnsi="Arial" w:cs="Arial"/>
                <w:sz w:val="32"/>
                <w:szCs w:val="32"/>
              </w:rPr>
              <w:t>Relevance</w:t>
            </w:r>
          </w:p>
        </w:tc>
        <w:tc>
          <w:tcPr>
            <w:tcW w:w="2407" w:type="dxa"/>
          </w:tcPr>
          <w:p w14:paraId="236B4EBA" w14:textId="77777777" w:rsidR="009E74AF" w:rsidRDefault="009E74AF" w:rsidP="009E74AF">
            <w:pPr>
              <w:jc w:val="center"/>
              <w:rPr>
                <w:rFonts w:ascii="Arial" w:hAnsi="Arial" w:cs="Arial"/>
                <w:sz w:val="32"/>
                <w:szCs w:val="32"/>
              </w:rPr>
            </w:pPr>
            <w:r>
              <w:rPr>
                <w:rFonts w:ascii="Arial" w:hAnsi="Arial" w:cs="Arial"/>
                <w:sz w:val="32"/>
                <w:szCs w:val="32"/>
              </w:rPr>
              <w:t>Reliability</w:t>
            </w:r>
          </w:p>
        </w:tc>
        <w:tc>
          <w:tcPr>
            <w:tcW w:w="2407" w:type="dxa"/>
          </w:tcPr>
          <w:p w14:paraId="66B80704" w14:textId="77777777" w:rsidR="009E74AF" w:rsidRDefault="009E74AF" w:rsidP="009E74AF">
            <w:pPr>
              <w:jc w:val="center"/>
              <w:rPr>
                <w:rFonts w:ascii="Arial" w:hAnsi="Arial" w:cs="Arial"/>
                <w:sz w:val="32"/>
                <w:szCs w:val="32"/>
              </w:rPr>
            </w:pPr>
            <w:r>
              <w:rPr>
                <w:rFonts w:ascii="Arial" w:hAnsi="Arial" w:cs="Arial"/>
                <w:sz w:val="32"/>
                <w:szCs w:val="32"/>
              </w:rPr>
              <w:t>Weight of Authority</w:t>
            </w:r>
          </w:p>
        </w:tc>
      </w:tr>
      <w:tr w:rsidR="009E74AF" w14:paraId="14CAC834" w14:textId="77777777" w:rsidTr="009E74AF">
        <w:tc>
          <w:tcPr>
            <w:tcW w:w="2407" w:type="dxa"/>
          </w:tcPr>
          <w:p w14:paraId="2D41D790" w14:textId="77777777" w:rsidR="009E74AF" w:rsidRPr="00C152ED" w:rsidRDefault="009E74AF" w:rsidP="00505907">
            <w:pPr>
              <w:rPr>
                <w:rFonts w:ascii="Arial" w:hAnsi="Arial" w:cs="Arial"/>
                <w:b/>
                <w:sz w:val="20"/>
                <w:szCs w:val="20"/>
              </w:rPr>
            </w:pPr>
            <w:r w:rsidRPr="00C152ED">
              <w:rPr>
                <w:rFonts w:ascii="Arial" w:hAnsi="Arial" w:cs="Arial"/>
                <w:b/>
                <w:sz w:val="20"/>
                <w:szCs w:val="20"/>
              </w:rPr>
              <w:t>B Bowling &amp; C Phillips,  “Disproportionate and Discriminatory: Reviewing the Evidence on Police Stop and Search” (2007) 70 MLR 936  (available online)</w:t>
            </w:r>
          </w:p>
        </w:tc>
        <w:tc>
          <w:tcPr>
            <w:tcW w:w="2407" w:type="dxa"/>
          </w:tcPr>
          <w:p w14:paraId="51F779F1" w14:textId="77777777" w:rsidR="009E74AF" w:rsidRPr="009E74AF" w:rsidRDefault="009E74AF" w:rsidP="00D56A96">
            <w:pPr>
              <w:rPr>
                <w:rFonts w:ascii="Arial" w:hAnsi="Arial" w:cs="Arial"/>
                <w:sz w:val="20"/>
                <w:szCs w:val="20"/>
              </w:rPr>
            </w:pPr>
            <w:r>
              <w:rPr>
                <w:rFonts w:ascii="Arial" w:hAnsi="Arial" w:cs="Arial"/>
                <w:sz w:val="20"/>
                <w:szCs w:val="20"/>
              </w:rPr>
              <w:t xml:space="preserve">This academic journal is extremely relevant to the topic since it discusses stop and search powers. In doing so, it provides statistical material and some strong arguments in order to demonstrate that the aforementioned powers are indeed discriminatory. </w:t>
            </w:r>
          </w:p>
        </w:tc>
        <w:tc>
          <w:tcPr>
            <w:tcW w:w="2407" w:type="dxa"/>
          </w:tcPr>
          <w:p w14:paraId="1E0DE918" w14:textId="77777777" w:rsidR="009E74AF" w:rsidRPr="009E74AF" w:rsidRDefault="00D56A96" w:rsidP="001C2453">
            <w:pPr>
              <w:rPr>
                <w:rFonts w:ascii="Arial" w:hAnsi="Arial" w:cs="Arial"/>
                <w:sz w:val="20"/>
                <w:szCs w:val="20"/>
              </w:rPr>
            </w:pPr>
            <w:r>
              <w:rPr>
                <w:rFonts w:ascii="Arial" w:hAnsi="Arial" w:cs="Arial"/>
                <w:sz w:val="20"/>
                <w:szCs w:val="20"/>
              </w:rPr>
              <w:t xml:space="preserve">Although </w:t>
            </w:r>
            <w:r w:rsidR="00D72107">
              <w:rPr>
                <w:rFonts w:ascii="Arial" w:hAnsi="Arial" w:cs="Arial"/>
                <w:sz w:val="20"/>
                <w:szCs w:val="20"/>
              </w:rPr>
              <w:t xml:space="preserve">the authors try to present a balanced view </w:t>
            </w:r>
            <w:r>
              <w:rPr>
                <w:rFonts w:ascii="Arial" w:hAnsi="Arial" w:cs="Arial"/>
                <w:sz w:val="20"/>
                <w:szCs w:val="20"/>
              </w:rPr>
              <w:t xml:space="preserve">they tend to focus mostly on the criticisms and on the negative aspects of stop and search powers. </w:t>
            </w:r>
            <w:r w:rsidR="001C2453">
              <w:rPr>
                <w:rFonts w:ascii="Arial" w:hAnsi="Arial" w:cs="Arial"/>
                <w:sz w:val="20"/>
                <w:szCs w:val="20"/>
              </w:rPr>
              <w:t>They should have probably provided more counter-arguments</w:t>
            </w:r>
            <w:r>
              <w:rPr>
                <w:rFonts w:ascii="Arial" w:hAnsi="Arial" w:cs="Arial"/>
                <w:sz w:val="20"/>
                <w:szCs w:val="20"/>
              </w:rPr>
              <w:t xml:space="preserve">. I found this article extremely useful as it helped me balance (or try to) my essay. </w:t>
            </w:r>
          </w:p>
        </w:tc>
        <w:tc>
          <w:tcPr>
            <w:tcW w:w="2407" w:type="dxa"/>
          </w:tcPr>
          <w:p w14:paraId="16B40FB1" w14:textId="77777777" w:rsidR="009E74AF" w:rsidRPr="009E74AF" w:rsidRDefault="00D56A96" w:rsidP="00F7706A">
            <w:pPr>
              <w:rPr>
                <w:rFonts w:ascii="Arial" w:hAnsi="Arial" w:cs="Arial"/>
                <w:sz w:val="20"/>
                <w:szCs w:val="20"/>
              </w:rPr>
            </w:pPr>
            <w:r>
              <w:rPr>
                <w:rFonts w:ascii="Arial" w:hAnsi="Arial" w:cs="Arial"/>
                <w:sz w:val="20"/>
                <w:szCs w:val="20"/>
              </w:rPr>
              <w:t xml:space="preserve">The authors are extremely </w:t>
            </w:r>
            <w:r w:rsidR="00F7706A">
              <w:rPr>
                <w:rFonts w:ascii="Arial" w:hAnsi="Arial" w:cs="Arial"/>
                <w:sz w:val="20"/>
                <w:szCs w:val="20"/>
              </w:rPr>
              <w:t>authoritative</w:t>
            </w:r>
            <w:r>
              <w:rPr>
                <w:rFonts w:ascii="Arial" w:hAnsi="Arial" w:cs="Arial"/>
                <w:sz w:val="20"/>
                <w:szCs w:val="20"/>
              </w:rPr>
              <w:t xml:space="preserve"> since they have published several articles on different journals. In addition, this article </w:t>
            </w:r>
            <w:r w:rsidR="001670DF">
              <w:rPr>
                <w:rFonts w:ascii="Arial" w:hAnsi="Arial" w:cs="Arial"/>
                <w:sz w:val="20"/>
                <w:szCs w:val="20"/>
              </w:rPr>
              <w:t xml:space="preserve">was </w:t>
            </w:r>
            <w:r>
              <w:rPr>
                <w:rFonts w:ascii="Arial" w:hAnsi="Arial" w:cs="Arial"/>
                <w:sz w:val="20"/>
                <w:szCs w:val="20"/>
              </w:rPr>
              <w:t xml:space="preserve">published on the MLR -which is recognised as very authoritative- and draws information </w:t>
            </w:r>
            <w:r w:rsidR="009E1BC4">
              <w:rPr>
                <w:rFonts w:ascii="Arial" w:hAnsi="Arial" w:cs="Arial"/>
                <w:sz w:val="20"/>
                <w:szCs w:val="20"/>
              </w:rPr>
              <w:t>upon</w:t>
            </w:r>
            <w:r>
              <w:rPr>
                <w:rFonts w:ascii="Arial" w:hAnsi="Arial" w:cs="Arial"/>
                <w:sz w:val="20"/>
                <w:szCs w:val="20"/>
              </w:rPr>
              <w:t xml:space="preserve"> reliable sources.</w:t>
            </w:r>
          </w:p>
        </w:tc>
      </w:tr>
      <w:tr w:rsidR="009E74AF" w14:paraId="6C55B4FD" w14:textId="77777777" w:rsidTr="009E74AF">
        <w:tc>
          <w:tcPr>
            <w:tcW w:w="2407" w:type="dxa"/>
          </w:tcPr>
          <w:p w14:paraId="426F30A2" w14:textId="77777777" w:rsidR="009E74AF" w:rsidRPr="00C152ED" w:rsidRDefault="009E74AF" w:rsidP="00505907">
            <w:pPr>
              <w:rPr>
                <w:rFonts w:ascii="Arial" w:hAnsi="Arial" w:cs="Arial"/>
                <w:b/>
                <w:sz w:val="20"/>
                <w:szCs w:val="20"/>
              </w:rPr>
            </w:pPr>
            <w:r w:rsidRPr="00C152ED">
              <w:rPr>
                <w:rFonts w:ascii="Arial" w:hAnsi="Arial" w:cs="Arial"/>
                <w:b/>
                <w:sz w:val="20"/>
                <w:szCs w:val="20"/>
              </w:rPr>
              <w:t>D Ellis, “Stop and search: Disproportionality, Discretion and Generalisations”</w:t>
            </w:r>
            <w:r w:rsidR="00D4588B" w:rsidRPr="00C152ED">
              <w:rPr>
                <w:rFonts w:ascii="Arial" w:hAnsi="Arial" w:cs="Arial"/>
                <w:b/>
                <w:sz w:val="20"/>
                <w:szCs w:val="20"/>
              </w:rPr>
              <w:t xml:space="preserve"> (2010)</w:t>
            </w:r>
            <w:r w:rsidRPr="00C152ED">
              <w:rPr>
                <w:rFonts w:ascii="Arial" w:hAnsi="Arial" w:cs="Arial"/>
                <w:b/>
                <w:sz w:val="20"/>
                <w:szCs w:val="20"/>
              </w:rPr>
              <w:t xml:space="preserve"> 83(3) The Police Journal  199</w:t>
            </w:r>
            <w:r w:rsidR="00D56A96" w:rsidRPr="00C152ED">
              <w:rPr>
                <w:rFonts w:ascii="Arial" w:hAnsi="Arial" w:cs="Arial"/>
                <w:b/>
                <w:sz w:val="20"/>
                <w:szCs w:val="20"/>
              </w:rPr>
              <w:t xml:space="preserve"> (available online) </w:t>
            </w:r>
          </w:p>
        </w:tc>
        <w:tc>
          <w:tcPr>
            <w:tcW w:w="2407" w:type="dxa"/>
          </w:tcPr>
          <w:p w14:paraId="3EA9841A" w14:textId="77777777" w:rsidR="009E74AF" w:rsidRPr="009E74AF" w:rsidRDefault="009E1BC4" w:rsidP="00ED6AE4">
            <w:pPr>
              <w:rPr>
                <w:rFonts w:ascii="Arial" w:hAnsi="Arial" w:cs="Arial"/>
                <w:sz w:val="20"/>
                <w:szCs w:val="20"/>
              </w:rPr>
            </w:pPr>
            <w:r>
              <w:rPr>
                <w:rFonts w:ascii="Arial" w:hAnsi="Arial" w:cs="Arial"/>
                <w:sz w:val="20"/>
                <w:szCs w:val="20"/>
              </w:rPr>
              <w:t xml:space="preserve">This academic journal is extremely relevant as it deals with stop and search powers </w:t>
            </w:r>
            <w:r w:rsidR="00573317">
              <w:rPr>
                <w:rFonts w:ascii="Arial" w:hAnsi="Arial" w:cs="Arial"/>
                <w:sz w:val="20"/>
                <w:szCs w:val="20"/>
              </w:rPr>
              <w:t xml:space="preserve">discussing in depth the concept of intuition, which is central to my essay. </w:t>
            </w:r>
            <w:r w:rsidR="00ED6AE4">
              <w:rPr>
                <w:rFonts w:ascii="Arial" w:hAnsi="Arial" w:cs="Arial"/>
                <w:sz w:val="20"/>
                <w:szCs w:val="20"/>
              </w:rPr>
              <w:t xml:space="preserve">Though not being too careful to legal principles and doctrines, this article presents expert opinion on subjects such as psychology which I believe to be strictly linked to Law. </w:t>
            </w:r>
          </w:p>
        </w:tc>
        <w:tc>
          <w:tcPr>
            <w:tcW w:w="2407" w:type="dxa"/>
          </w:tcPr>
          <w:p w14:paraId="083DBDB4" w14:textId="77777777" w:rsidR="009E74AF" w:rsidRPr="009E74AF" w:rsidRDefault="00573317" w:rsidP="00573317">
            <w:pPr>
              <w:rPr>
                <w:rFonts w:ascii="Arial" w:hAnsi="Arial" w:cs="Arial"/>
                <w:sz w:val="20"/>
                <w:szCs w:val="20"/>
              </w:rPr>
            </w:pPr>
            <w:r>
              <w:rPr>
                <w:rFonts w:ascii="Arial" w:hAnsi="Arial" w:cs="Arial"/>
                <w:sz w:val="20"/>
                <w:szCs w:val="20"/>
              </w:rPr>
              <w:t>The article is worth reading only because of its bibliography. It provides several examples of research carried out in the last forty years and learnt opinions on intuition. I found it extremely useful and must admit that if I managed to write a paragraph about intuition it is thanks to this article and its bibliography.</w:t>
            </w:r>
          </w:p>
        </w:tc>
        <w:tc>
          <w:tcPr>
            <w:tcW w:w="2407" w:type="dxa"/>
          </w:tcPr>
          <w:p w14:paraId="43A35737" w14:textId="77777777" w:rsidR="009E74AF" w:rsidRPr="009E74AF" w:rsidRDefault="00573317" w:rsidP="00A70E99">
            <w:pPr>
              <w:rPr>
                <w:rFonts w:ascii="Arial" w:hAnsi="Arial" w:cs="Arial"/>
                <w:sz w:val="20"/>
                <w:szCs w:val="20"/>
              </w:rPr>
            </w:pPr>
            <w:r>
              <w:rPr>
                <w:rFonts w:ascii="Arial" w:hAnsi="Arial" w:cs="Arial"/>
                <w:sz w:val="20"/>
                <w:szCs w:val="20"/>
              </w:rPr>
              <w:t xml:space="preserve">The police journal </w:t>
            </w:r>
            <w:r w:rsidR="00ED6AE4">
              <w:rPr>
                <w:rFonts w:ascii="Arial" w:hAnsi="Arial" w:cs="Arial"/>
                <w:sz w:val="20"/>
                <w:szCs w:val="20"/>
              </w:rPr>
              <w:t>might sound biased but is nonetheless quite authoritative. In fact, the author is a leading expert in his subject</w:t>
            </w:r>
            <w:r w:rsidR="00A70E99">
              <w:rPr>
                <w:rFonts w:ascii="Arial" w:hAnsi="Arial" w:cs="Arial"/>
                <w:sz w:val="20"/>
                <w:szCs w:val="20"/>
              </w:rPr>
              <w:t>, which is proved by the fact that he</w:t>
            </w:r>
            <w:r w:rsidR="00ED6AE4">
              <w:rPr>
                <w:rFonts w:ascii="Arial" w:hAnsi="Arial" w:cs="Arial"/>
                <w:sz w:val="20"/>
                <w:szCs w:val="20"/>
              </w:rPr>
              <w:t xml:space="preserve"> managed to </w:t>
            </w:r>
            <w:r w:rsidR="00A70E99">
              <w:rPr>
                <w:rFonts w:ascii="Arial" w:hAnsi="Arial" w:cs="Arial"/>
                <w:sz w:val="20"/>
                <w:szCs w:val="20"/>
              </w:rPr>
              <w:t xml:space="preserve">synthesise </w:t>
            </w:r>
            <w:r w:rsidR="005A7271">
              <w:rPr>
                <w:rFonts w:ascii="Arial" w:hAnsi="Arial" w:cs="Arial"/>
                <w:sz w:val="20"/>
                <w:szCs w:val="20"/>
              </w:rPr>
              <w:t xml:space="preserve">twenty </w:t>
            </w:r>
            <w:r w:rsidR="00ED6AE4">
              <w:rPr>
                <w:rFonts w:ascii="Arial" w:hAnsi="Arial" w:cs="Arial"/>
                <w:sz w:val="20"/>
                <w:szCs w:val="20"/>
              </w:rPr>
              <w:t>ye</w:t>
            </w:r>
            <w:r w:rsidR="00A70E99">
              <w:rPr>
                <w:rFonts w:ascii="Arial" w:hAnsi="Arial" w:cs="Arial"/>
                <w:sz w:val="20"/>
                <w:szCs w:val="20"/>
              </w:rPr>
              <w:t>ars of research in his article.</w:t>
            </w:r>
          </w:p>
        </w:tc>
      </w:tr>
      <w:tr w:rsidR="009E74AF" w14:paraId="1890D19B" w14:textId="77777777" w:rsidTr="009E74AF">
        <w:trPr>
          <w:trHeight w:val="935"/>
        </w:trPr>
        <w:tc>
          <w:tcPr>
            <w:tcW w:w="2407" w:type="dxa"/>
          </w:tcPr>
          <w:p w14:paraId="2F0D5036" w14:textId="77777777" w:rsidR="009E74AF" w:rsidRPr="00C152ED" w:rsidRDefault="009E74AF" w:rsidP="00505907">
            <w:pPr>
              <w:rPr>
                <w:rFonts w:ascii="Arial" w:hAnsi="Arial" w:cs="Arial"/>
                <w:b/>
                <w:sz w:val="20"/>
                <w:szCs w:val="20"/>
              </w:rPr>
            </w:pPr>
            <w:r w:rsidRPr="00C152ED">
              <w:rPr>
                <w:rFonts w:ascii="Arial" w:hAnsi="Arial" w:cs="Arial"/>
                <w:b/>
                <w:sz w:val="20"/>
                <w:szCs w:val="20"/>
              </w:rPr>
              <w:t>S J  Ellmann, “Racial Profiling and Terrorism”  (2003) 46 N.Y. Law School  Review 675</w:t>
            </w:r>
            <w:r w:rsidR="00D56A96" w:rsidRPr="00C152ED">
              <w:rPr>
                <w:rFonts w:ascii="Arial" w:hAnsi="Arial" w:cs="Arial"/>
                <w:b/>
                <w:sz w:val="20"/>
                <w:szCs w:val="20"/>
              </w:rPr>
              <w:t xml:space="preserve"> (available online) </w:t>
            </w:r>
          </w:p>
        </w:tc>
        <w:tc>
          <w:tcPr>
            <w:tcW w:w="2407" w:type="dxa"/>
          </w:tcPr>
          <w:p w14:paraId="2CCAFCAA" w14:textId="77777777" w:rsidR="009E74AF" w:rsidRPr="009E74AF" w:rsidRDefault="00B32A7C" w:rsidP="005A7271">
            <w:pPr>
              <w:rPr>
                <w:rFonts w:ascii="Arial" w:hAnsi="Arial" w:cs="Arial"/>
                <w:sz w:val="20"/>
                <w:szCs w:val="20"/>
              </w:rPr>
            </w:pPr>
            <w:r>
              <w:rPr>
                <w:rFonts w:ascii="Arial" w:hAnsi="Arial" w:cs="Arial"/>
                <w:sz w:val="20"/>
                <w:szCs w:val="20"/>
              </w:rPr>
              <w:t xml:space="preserve">The article is not too relevant. I read it </w:t>
            </w:r>
            <w:r w:rsidR="00A70E99">
              <w:rPr>
                <w:rFonts w:ascii="Arial" w:hAnsi="Arial" w:cs="Arial"/>
                <w:sz w:val="20"/>
                <w:szCs w:val="20"/>
              </w:rPr>
              <w:t xml:space="preserve">only </w:t>
            </w:r>
            <w:r>
              <w:rPr>
                <w:rFonts w:ascii="Arial" w:hAnsi="Arial" w:cs="Arial"/>
                <w:sz w:val="20"/>
                <w:szCs w:val="20"/>
              </w:rPr>
              <w:t xml:space="preserve">because I found it in the bibliography of another </w:t>
            </w:r>
            <w:r w:rsidR="005A7271">
              <w:rPr>
                <w:rFonts w:ascii="Arial" w:hAnsi="Arial" w:cs="Arial"/>
                <w:sz w:val="20"/>
                <w:szCs w:val="20"/>
              </w:rPr>
              <w:t>one</w:t>
            </w:r>
            <w:r>
              <w:rPr>
                <w:rFonts w:ascii="Arial" w:hAnsi="Arial" w:cs="Arial"/>
                <w:sz w:val="20"/>
                <w:szCs w:val="20"/>
              </w:rPr>
              <w:t xml:space="preserve">. Being written by an American it focuses on the American response to terrorism which is completely different from that of the UK/Europe. However, I thought one point that this author made to be extremely relevant. </w:t>
            </w:r>
          </w:p>
        </w:tc>
        <w:tc>
          <w:tcPr>
            <w:tcW w:w="2407" w:type="dxa"/>
          </w:tcPr>
          <w:p w14:paraId="024BBF75" w14:textId="77777777" w:rsidR="009E74AF" w:rsidRPr="009E74AF" w:rsidRDefault="00B32A7C" w:rsidP="00A950CD">
            <w:pPr>
              <w:rPr>
                <w:rFonts w:ascii="Arial" w:hAnsi="Arial" w:cs="Arial"/>
                <w:sz w:val="20"/>
                <w:szCs w:val="20"/>
              </w:rPr>
            </w:pPr>
            <w:r>
              <w:rPr>
                <w:rFonts w:ascii="Arial" w:hAnsi="Arial" w:cs="Arial"/>
                <w:sz w:val="20"/>
                <w:szCs w:val="20"/>
              </w:rPr>
              <w:t>This article is probably one of the most unbalanced I have ever read. I</w:t>
            </w:r>
            <w:r w:rsidR="00DA6B12">
              <w:rPr>
                <w:rFonts w:ascii="Arial" w:hAnsi="Arial" w:cs="Arial"/>
                <w:sz w:val="20"/>
                <w:szCs w:val="20"/>
              </w:rPr>
              <w:t xml:space="preserve">t </w:t>
            </w:r>
            <w:r w:rsidR="005A7271">
              <w:rPr>
                <w:rFonts w:ascii="Arial" w:hAnsi="Arial" w:cs="Arial"/>
                <w:sz w:val="20"/>
                <w:szCs w:val="20"/>
              </w:rPr>
              <w:t>is</w:t>
            </w:r>
            <w:r w:rsidR="00DA6B12">
              <w:rPr>
                <w:rFonts w:ascii="Arial" w:hAnsi="Arial" w:cs="Arial"/>
                <w:sz w:val="20"/>
                <w:szCs w:val="20"/>
              </w:rPr>
              <w:t xml:space="preserve"> an open </w:t>
            </w:r>
            <w:r>
              <w:rPr>
                <w:rFonts w:ascii="Arial" w:hAnsi="Arial" w:cs="Arial"/>
                <w:sz w:val="20"/>
                <w:szCs w:val="20"/>
              </w:rPr>
              <w:t xml:space="preserve">attack to terrorists. </w:t>
            </w:r>
            <w:r w:rsidR="00DA6B12">
              <w:rPr>
                <w:rFonts w:ascii="Arial" w:hAnsi="Arial" w:cs="Arial"/>
                <w:sz w:val="20"/>
                <w:szCs w:val="20"/>
              </w:rPr>
              <w:t>On the one hand, at first I thought that this article would be useless. On the other, after considering the circumstances</w:t>
            </w:r>
            <w:r w:rsidR="00B86049">
              <w:rPr>
                <w:rFonts w:ascii="Arial" w:hAnsi="Arial" w:cs="Arial"/>
                <w:sz w:val="20"/>
                <w:szCs w:val="20"/>
              </w:rPr>
              <w:t xml:space="preserve"> in which it was written</w:t>
            </w:r>
            <w:r w:rsidR="00A950CD">
              <w:rPr>
                <w:rFonts w:ascii="Arial" w:hAnsi="Arial" w:cs="Arial"/>
                <w:sz w:val="20"/>
                <w:szCs w:val="20"/>
              </w:rPr>
              <w:t xml:space="preserve"> I reached the conclusion that it would be unfair to judge someone else’s work without knowing the reasons why they decided to write. However, the author could have been more balanced.</w:t>
            </w:r>
          </w:p>
        </w:tc>
        <w:tc>
          <w:tcPr>
            <w:tcW w:w="2407" w:type="dxa"/>
          </w:tcPr>
          <w:p w14:paraId="2EFC99BC" w14:textId="77777777" w:rsidR="009E74AF" w:rsidRDefault="00DA6B12" w:rsidP="00DA6B12">
            <w:pPr>
              <w:rPr>
                <w:rFonts w:ascii="Arial" w:hAnsi="Arial" w:cs="Arial"/>
                <w:sz w:val="20"/>
                <w:szCs w:val="20"/>
              </w:rPr>
            </w:pPr>
            <w:r>
              <w:rPr>
                <w:rFonts w:ascii="Arial" w:hAnsi="Arial" w:cs="Arial"/>
                <w:sz w:val="20"/>
                <w:szCs w:val="20"/>
              </w:rPr>
              <w:t xml:space="preserve">The NYLSR is a very authoritative journal in the US. It would be easy to underrate this article just because it is quite unbalanced. Although the author could have presented more counter-arguments, the content of this article should make people meditate on the seriousness of the threat that terrorism posed in the US. </w:t>
            </w:r>
            <w:r w:rsidR="00B86049">
              <w:rPr>
                <w:rFonts w:ascii="Arial" w:hAnsi="Arial" w:cs="Arial"/>
                <w:sz w:val="20"/>
                <w:szCs w:val="20"/>
              </w:rPr>
              <w:t>It could be argued that European institutions are more careful of human rights because terrorism has not caused many problems, whereas Americans are mo</w:t>
            </w:r>
            <w:r w:rsidR="00A950CD">
              <w:rPr>
                <w:rFonts w:ascii="Arial" w:hAnsi="Arial" w:cs="Arial"/>
                <w:sz w:val="20"/>
                <w:szCs w:val="20"/>
              </w:rPr>
              <w:t>re concerned with public safety because of</w:t>
            </w:r>
            <w:r w:rsidR="00B86049">
              <w:rPr>
                <w:rFonts w:ascii="Arial" w:hAnsi="Arial" w:cs="Arial"/>
                <w:sz w:val="20"/>
                <w:szCs w:val="20"/>
              </w:rPr>
              <w:t xml:space="preserve"> 9/11.</w:t>
            </w:r>
          </w:p>
          <w:p w14:paraId="2BA29DEA" w14:textId="77777777" w:rsidR="00DA6B12" w:rsidRPr="009E74AF" w:rsidRDefault="00DA6B12" w:rsidP="00DA6B12">
            <w:pPr>
              <w:rPr>
                <w:rFonts w:ascii="Arial" w:hAnsi="Arial" w:cs="Arial"/>
                <w:sz w:val="20"/>
                <w:szCs w:val="20"/>
              </w:rPr>
            </w:pPr>
          </w:p>
        </w:tc>
      </w:tr>
      <w:tr w:rsidR="009E74AF" w14:paraId="26948087" w14:textId="77777777" w:rsidTr="009E74AF">
        <w:tc>
          <w:tcPr>
            <w:tcW w:w="2407" w:type="dxa"/>
          </w:tcPr>
          <w:p w14:paraId="06C5F89C" w14:textId="77777777" w:rsidR="009E74AF" w:rsidRPr="00C152ED" w:rsidRDefault="009E74AF" w:rsidP="00505907">
            <w:pPr>
              <w:rPr>
                <w:rFonts w:ascii="Arial" w:hAnsi="Arial" w:cs="Arial"/>
                <w:b/>
                <w:sz w:val="20"/>
                <w:szCs w:val="20"/>
              </w:rPr>
            </w:pPr>
            <w:r w:rsidRPr="00C152ED">
              <w:rPr>
                <w:rFonts w:ascii="Arial" w:hAnsi="Arial" w:cs="Arial"/>
                <w:b/>
                <w:sz w:val="20"/>
                <w:szCs w:val="20"/>
              </w:rPr>
              <w:t>D Feldman, “Human rights, terrorism and risk: the roles of politicians and judges” (2006) Public Law 364</w:t>
            </w:r>
            <w:r w:rsidR="00D56A96" w:rsidRPr="00C152ED">
              <w:rPr>
                <w:rFonts w:ascii="Arial" w:hAnsi="Arial" w:cs="Arial"/>
                <w:b/>
                <w:sz w:val="20"/>
                <w:szCs w:val="20"/>
              </w:rPr>
              <w:t xml:space="preserve"> (available online) </w:t>
            </w:r>
          </w:p>
        </w:tc>
        <w:tc>
          <w:tcPr>
            <w:tcW w:w="2407" w:type="dxa"/>
          </w:tcPr>
          <w:p w14:paraId="73DF2F38" w14:textId="77777777" w:rsidR="009E74AF" w:rsidRPr="009E74AF" w:rsidRDefault="00B86049" w:rsidP="001670DF">
            <w:pPr>
              <w:rPr>
                <w:rFonts w:ascii="Arial" w:hAnsi="Arial" w:cs="Arial"/>
                <w:sz w:val="20"/>
                <w:szCs w:val="20"/>
              </w:rPr>
            </w:pPr>
            <w:r>
              <w:rPr>
                <w:rFonts w:ascii="Arial" w:hAnsi="Arial" w:cs="Arial"/>
                <w:sz w:val="20"/>
                <w:szCs w:val="20"/>
              </w:rPr>
              <w:t xml:space="preserve">This article is not </w:t>
            </w:r>
            <w:r w:rsidR="001670DF">
              <w:rPr>
                <w:rFonts w:ascii="Arial" w:hAnsi="Arial" w:cs="Arial"/>
                <w:sz w:val="20"/>
                <w:szCs w:val="20"/>
              </w:rPr>
              <w:t>strictly linked</w:t>
            </w:r>
            <w:r>
              <w:rPr>
                <w:rFonts w:ascii="Arial" w:hAnsi="Arial" w:cs="Arial"/>
                <w:sz w:val="20"/>
                <w:szCs w:val="20"/>
              </w:rPr>
              <w:t xml:space="preserve"> to stop and search powers. </w:t>
            </w:r>
            <w:r w:rsidR="007C12F1">
              <w:rPr>
                <w:rFonts w:ascii="Arial" w:hAnsi="Arial" w:cs="Arial"/>
                <w:sz w:val="20"/>
                <w:szCs w:val="20"/>
              </w:rPr>
              <w:t xml:space="preserve">Yet, the fact that </w:t>
            </w:r>
            <w:r w:rsidR="001670DF">
              <w:rPr>
                <w:rFonts w:ascii="Arial" w:hAnsi="Arial" w:cs="Arial"/>
                <w:sz w:val="20"/>
                <w:szCs w:val="20"/>
              </w:rPr>
              <w:t>domestic and European courts have</w:t>
            </w:r>
            <w:r w:rsidR="007C12F1">
              <w:rPr>
                <w:rFonts w:ascii="Arial" w:hAnsi="Arial" w:cs="Arial"/>
                <w:sz w:val="20"/>
                <w:szCs w:val="20"/>
              </w:rPr>
              <w:t xml:space="preserve"> taken different approaches </w:t>
            </w:r>
            <w:r w:rsidR="001670DF">
              <w:rPr>
                <w:rFonts w:ascii="Arial" w:hAnsi="Arial" w:cs="Arial"/>
                <w:sz w:val="20"/>
                <w:szCs w:val="20"/>
              </w:rPr>
              <w:t xml:space="preserve">is </w:t>
            </w:r>
            <w:r w:rsidR="007C12F1">
              <w:rPr>
                <w:rFonts w:ascii="Arial" w:hAnsi="Arial" w:cs="Arial"/>
                <w:sz w:val="20"/>
                <w:szCs w:val="20"/>
              </w:rPr>
              <w:t>intriguing. Since I found this article mentioned in the bibliography of one of those related to stop and search, I decided to read it. Domestic judges could have issued a declaration of incompatibility, but the question is: should they retain the power to do so? Should they be able to question the executive’s decisions?</w:t>
            </w:r>
          </w:p>
        </w:tc>
        <w:tc>
          <w:tcPr>
            <w:tcW w:w="2407" w:type="dxa"/>
          </w:tcPr>
          <w:p w14:paraId="54235A2C" w14:textId="77777777" w:rsidR="009E74AF" w:rsidRPr="009E74AF" w:rsidRDefault="00B86049" w:rsidP="007C12F1">
            <w:pPr>
              <w:rPr>
                <w:rFonts w:ascii="Arial" w:hAnsi="Arial" w:cs="Arial"/>
                <w:sz w:val="20"/>
                <w:szCs w:val="20"/>
              </w:rPr>
            </w:pPr>
            <w:r>
              <w:rPr>
                <w:rFonts w:ascii="Arial" w:hAnsi="Arial" w:cs="Arial"/>
                <w:sz w:val="20"/>
                <w:szCs w:val="20"/>
              </w:rPr>
              <w:t>This article is nicely balanced; at first it presents the view of those who believe that judges</w:t>
            </w:r>
            <w:r w:rsidR="007C12F1">
              <w:rPr>
                <w:rFonts w:ascii="Arial" w:hAnsi="Arial" w:cs="Arial"/>
                <w:sz w:val="20"/>
                <w:szCs w:val="20"/>
              </w:rPr>
              <w:t xml:space="preserve"> lack the expertise to interfere with the executive, then it takes the view of those who believe that judges should intervene, especially in matters concerning human rights. It is an extremely interesting article, logically constructed and clearly written. In addition, it is more recent than other sources and this debate is </w:t>
            </w:r>
            <w:r w:rsidR="002A2C32">
              <w:rPr>
                <w:rFonts w:ascii="Arial" w:hAnsi="Arial" w:cs="Arial"/>
                <w:sz w:val="20"/>
                <w:szCs w:val="20"/>
              </w:rPr>
              <w:t xml:space="preserve">quite up to </w:t>
            </w:r>
            <w:r w:rsidR="007C12F1">
              <w:rPr>
                <w:rFonts w:ascii="Arial" w:hAnsi="Arial" w:cs="Arial"/>
                <w:sz w:val="20"/>
                <w:szCs w:val="20"/>
              </w:rPr>
              <w:t>date.</w:t>
            </w:r>
            <w:r w:rsidR="001670DF">
              <w:rPr>
                <w:rFonts w:ascii="Arial" w:hAnsi="Arial" w:cs="Arial"/>
                <w:sz w:val="20"/>
                <w:szCs w:val="20"/>
              </w:rPr>
              <w:t xml:space="preserve"> It draws on numerous authoritative sources, presenting balanced views. </w:t>
            </w:r>
            <w:r w:rsidR="007C12F1">
              <w:rPr>
                <w:rFonts w:ascii="Arial" w:hAnsi="Arial" w:cs="Arial"/>
                <w:sz w:val="20"/>
                <w:szCs w:val="20"/>
              </w:rPr>
              <w:t xml:space="preserve"> </w:t>
            </w:r>
          </w:p>
        </w:tc>
        <w:tc>
          <w:tcPr>
            <w:tcW w:w="2407" w:type="dxa"/>
          </w:tcPr>
          <w:p w14:paraId="6B473A4D" w14:textId="77777777" w:rsidR="009E74AF" w:rsidRPr="009E74AF" w:rsidRDefault="007C12F1" w:rsidP="001670DF">
            <w:pPr>
              <w:rPr>
                <w:rFonts w:ascii="Arial" w:hAnsi="Arial" w:cs="Arial"/>
                <w:sz w:val="20"/>
                <w:szCs w:val="20"/>
              </w:rPr>
            </w:pPr>
            <w:r>
              <w:rPr>
                <w:rFonts w:ascii="Arial" w:hAnsi="Arial" w:cs="Arial"/>
                <w:sz w:val="20"/>
                <w:szCs w:val="20"/>
              </w:rPr>
              <w:t>This article was published on a ve</w:t>
            </w:r>
            <w:r w:rsidR="001A498C">
              <w:rPr>
                <w:rFonts w:ascii="Arial" w:hAnsi="Arial" w:cs="Arial"/>
                <w:sz w:val="20"/>
                <w:szCs w:val="20"/>
              </w:rPr>
              <w:t>ry prestigious academic journal.</w:t>
            </w:r>
            <w:r>
              <w:rPr>
                <w:rFonts w:ascii="Arial" w:hAnsi="Arial" w:cs="Arial"/>
                <w:sz w:val="20"/>
                <w:szCs w:val="20"/>
              </w:rPr>
              <w:t xml:space="preserve"> </w:t>
            </w:r>
            <w:r w:rsidR="001A498C">
              <w:rPr>
                <w:rFonts w:ascii="Arial" w:hAnsi="Arial" w:cs="Arial"/>
                <w:sz w:val="20"/>
                <w:szCs w:val="20"/>
              </w:rPr>
              <w:t xml:space="preserve">It was written by an eminent author who teaches at Cambridge University and has written several articles. </w:t>
            </w:r>
          </w:p>
        </w:tc>
      </w:tr>
      <w:tr w:rsidR="009E74AF" w14:paraId="7D12D4EC" w14:textId="77777777" w:rsidTr="009E74AF">
        <w:tc>
          <w:tcPr>
            <w:tcW w:w="2407" w:type="dxa"/>
          </w:tcPr>
          <w:p w14:paraId="2A138BE4" w14:textId="77777777" w:rsidR="009E74AF" w:rsidRPr="00C152ED" w:rsidRDefault="009E74AF" w:rsidP="00505907">
            <w:pPr>
              <w:rPr>
                <w:rFonts w:ascii="Arial" w:hAnsi="Arial" w:cs="Arial"/>
                <w:b/>
                <w:sz w:val="20"/>
                <w:szCs w:val="20"/>
              </w:rPr>
            </w:pPr>
            <w:r w:rsidRPr="00C152ED">
              <w:rPr>
                <w:rFonts w:ascii="Arial" w:hAnsi="Arial" w:cs="Arial"/>
                <w:b/>
                <w:sz w:val="20"/>
                <w:szCs w:val="20"/>
              </w:rPr>
              <w:t>R N Kocsis, “Criminal Psychological Profiling: Validities and Abilities” (2003) 47(2) International Journal Offender Therapy and Comparative Criminology 126</w:t>
            </w:r>
            <w:r w:rsidR="00D56A96" w:rsidRPr="00C152ED">
              <w:rPr>
                <w:rFonts w:ascii="Arial" w:hAnsi="Arial" w:cs="Arial"/>
                <w:b/>
                <w:sz w:val="20"/>
                <w:szCs w:val="20"/>
              </w:rPr>
              <w:t xml:space="preserve"> (available online) </w:t>
            </w:r>
          </w:p>
        </w:tc>
        <w:tc>
          <w:tcPr>
            <w:tcW w:w="2407" w:type="dxa"/>
          </w:tcPr>
          <w:p w14:paraId="4AEA834B" w14:textId="77777777" w:rsidR="009E74AF" w:rsidRPr="009E74AF" w:rsidRDefault="001A498C" w:rsidP="001670DF">
            <w:pPr>
              <w:rPr>
                <w:rFonts w:ascii="Arial" w:hAnsi="Arial" w:cs="Arial"/>
                <w:sz w:val="20"/>
                <w:szCs w:val="20"/>
              </w:rPr>
            </w:pPr>
            <w:r>
              <w:rPr>
                <w:rFonts w:ascii="Arial" w:hAnsi="Arial" w:cs="Arial"/>
                <w:sz w:val="20"/>
                <w:szCs w:val="20"/>
              </w:rPr>
              <w:t xml:space="preserve">This article is not too relevant to the topic. However, it provides expert opinion on a technique which is developing </w:t>
            </w:r>
            <w:r w:rsidR="001670DF">
              <w:rPr>
                <w:rFonts w:ascii="Arial" w:hAnsi="Arial" w:cs="Arial"/>
                <w:sz w:val="20"/>
                <w:szCs w:val="20"/>
              </w:rPr>
              <w:t>quickly</w:t>
            </w:r>
            <w:r>
              <w:rPr>
                <w:rFonts w:ascii="Arial" w:hAnsi="Arial" w:cs="Arial"/>
                <w:sz w:val="20"/>
                <w:szCs w:val="20"/>
              </w:rPr>
              <w:t xml:space="preserve"> and is strictly linked to stop and search. In fact, profiling has been quite successful in the US and might help reduce discrimination. </w:t>
            </w:r>
          </w:p>
        </w:tc>
        <w:tc>
          <w:tcPr>
            <w:tcW w:w="2407" w:type="dxa"/>
          </w:tcPr>
          <w:p w14:paraId="21BBA971" w14:textId="77777777" w:rsidR="009E74AF" w:rsidRPr="009E74AF" w:rsidRDefault="000173BD" w:rsidP="000173BD">
            <w:pPr>
              <w:rPr>
                <w:rFonts w:ascii="Arial" w:hAnsi="Arial" w:cs="Arial"/>
                <w:sz w:val="20"/>
                <w:szCs w:val="20"/>
              </w:rPr>
            </w:pPr>
            <w:r>
              <w:rPr>
                <w:rFonts w:ascii="Arial" w:hAnsi="Arial" w:cs="Arial"/>
                <w:sz w:val="20"/>
                <w:szCs w:val="20"/>
              </w:rPr>
              <w:t xml:space="preserve">Since many have complained that focusing exclusively on looks is ineffective, I tried to understand what </w:t>
            </w:r>
            <w:r w:rsidR="001670DF">
              <w:rPr>
                <w:rFonts w:ascii="Arial" w:hAnsi="Arial" w:cs="Arial"/>
                <w:sz w:val="20"/>
                <w:szCs w:val="20"/>
              </w:rPr>
              <w:t>criminologists consider</w:t>
            </w:r>
            <w:r>
              <w:rPr>
                <w:rFonts w:ascii="Arial" w:hAnsi="Arial" w:cs="Arial"/>
                <w:sz w:val="20"/>
                <w:szCs w:val="20"/>
              </w:rPr>
              <w:t xml:space="preserve"> as a feasible solution to this problem. This article discusses profiling techniques in great depth and is quite easy to understand. However, it might be a bit outdated.</w:t>
            </w:r>
          </w:p>
        </w:tc>
        <w:tc>
          <w:tcPr>
            <w:tcW w:w="2407" w:type="dxa"/>
          </w:tcPr>
          <w:p w14:paraId="37601BAF" w14:textId="77777777" w:rsidR="009E74AF" w:rsidRPr="009E74AF" w:rsidRDefault="000173BD" w:rsidP="001670DF">
            <w:pPr>
              <w:rPr>
                <w:rFonts w:ascii="Arial" w:hAnsi="Arial" w:cs="Arial"/>
                <w:sz w:val="20"/>
                <w:szCs w:val="20"/>
              </w:rPr>
            </w:pPr>
            <w:r>
              <w:rPr>
                <w:rFonts w:ascii="Arial" w:hAnsi="Arial" w:cs="Arial"/>
                <w:sz w:val="20"/>
                <w:szCs w:val="20"/>
              </w:rPr>
              <w:t>The article was published on an authoritative academic journal. In addition, the author is quite well-known. In fact, he published many articles and books, beside</w:t>
            </w:r>
            <w:r w:rsidR="001670DF">
              <w:rPr>
                <w:rFonts w:ascii="Arial" w:hAnsi="Arial" w:cs="Arial"/>
                <w:sz w:val="20"/>
                <w:szCs w:val="20"/>
              </w:rPr>
              <w:t>s being an expert in sociology and</w:t>
            </w:r>
            <w:r>
              <w:rPr>
                <w:rFonts w:ascii="Arial" w:hAnsi="Arial" w:cs="Arial"/>
                <w:sz w:val="20"/>
                <w:szCs w:val="20"/>
              </w:rPr>
              <w:t xml:space="preserve"> psychology. </w:t>
            </w:r>
          </w:p>
        </w:tc>
      </w:tr>
      <w:tr w:rsidR="009E74AF" w14:paraId="72E0BE1F" w14:textId="77777777" w:rsidTr="009E74AF">
        <w:tc>
          <w:tcPr>
            <w:tcW w:w="2407" w:type="dxa"/>
          </w:tcPr>
          <w:p w14:paraId="567F6575" w14:textId="77777777" w:rsidR="009E74AF" w:rsidRPr="00C152ED" w:rsidRDefault="00D72107" w:rsidP="00505907">
            <w:pPr>
              <w:rPr>
                <w:rFonts w:ascii="Arial" w:hAnsi="Arial" w:cs="Arial"/>
                <w:b/>
                <w:sz w:val="20"/>
                <w:szCs w:val="20"/>
              </w:rPr>
            </w:pPr>
            <w:r w:rsidRPr="00C152ED">
              <w:rPr>
                <w:rFonts w:ascii="Arial" w:hAnsi="Arial" w:cs="Arial"/>
                <w:b/>
                <w:sz w:val="20"/>
                <w:szCs w:val="20"/>
              </w:rPr>
              <w:t>C Lerner “Reasonable Suspicion and Mere Hunches” (2006) 59 (2) Vanderbilt Law Review 405</w:t>
            </w:r>
          </w:p>
        </w:tc>
        <w:tc>
          <w:tcPr>
            <w:tcW w:w="2407" w:type="dxa"/>
          </w:tcPr>
          <w:p w14:paraId="70641FEE" w14:textId="77777777" w:rsidR="009E74AF" w:rsidRPr="009E74AF" w:rsidRDefault="005B7AA8" w:rsidP="005B7AA8">
            <w:pPr>
              <w:rPr>
                <w:rFonts w:ascii="Arial" w:hAnsi="Arial" w:cs="Arial"/>
                <w:sz w:val="20"/>
                <w:szCs w:val="20"/>
              </w:rPr>
            </w:pPr>
            <w:r>
              <w:rPr>
                <w:rFonts w:ascii="Arial" w:hAnsi="Arial" w:cs="Arial"/>
                <w:sz w:val="20"/>
                <w:szCs w:val="20"/>
              </w:rPr>
              <w:t xml:space="preserve">This article is extremely relevant to the topic in that it deals with the concept of intuition, explaining its relation with reasonable thoughts. I found it extremely useful as it cast some light on Ellis’ article. </w:t>
            </w:r>
          </w:p>
        </w:tc>
        <w:tc>
          <w:tcPr>
            <w:tcW w:w="2407" w:type="dxa"/>
          </w:tcPr>
          <w:p w14:paraId="4C29D2EA" w14:textId="77777777" w:rsidR="009E74AF" w:rsidRPr="009E74AF" w:rsidRDefault="005B7AA8" w:rsidP="00505907">
            <w:pPr>
              <w:rPr>
                <w:rFonts w:ascii="Arial" w:hAnsi="Arial" w:cs="Arial"/>
                <w:sz w:val="20"/>
                <w:szCs w:val="20"/>
              </w:rPr>
            </w:pPr>
            <w:r w:rsidRPr="005B7AA8">
              <w:rPr>
                <w:rFonts w:ascii="Arial" w:hAnsi="Arial" w:cs="Arial"/>
                <w:sz w:val="20"/>
                <w:szCs w:val="20"/>
              </w:rPr>
              <w:t>It is cited by Ell</w:t>
            </w:r>
            <w:r>
              <w:rPr>
                <w:rFonts w:ascii="Arial" w:hAnsi="Arial" w:cs="Arial"/>
                <w:sz w:val="20"/>
                <w:szCs w:val="20"/>
              </w:rPr>
              <w:t>is more than once, tough being A</w:t>
            </w:r>
            <w:r w:rsidRPr="005B7AA8">
              <w:rPr>
                <w:rFonts w:ascii="Arial" w:hAnsi="Arial" w:cs="Arial"/>
                <w:sz w:val="20"/>
                <w:szCs w:val="20"/>
              </w:rPr>
              <w:t>merican.</w:t>
            </w:r>
            <w:r>
              <w:rPr>
                <w:rFonts w:ascii="Arial" w:hAnsi="Arial" w:cs="Arial"/>
                <w:sz w:val="20"/>
                <w:szCs w:val="20"/>
              </w:rPr>
              <w:t xml:space="preserve"> In my opinion, it lacks some counter-arguments.</w:t>
            </w:r>
            <w:r w:rsidR="008527AD">
              <w:rPr>
                <w:rFonts w:ascii="Arial" w:hAnsi="Arial" w:cs="Arial"/>
                <w:sz w:val="20"/>
                <w:szCs w:val="20"/>
              </w:rPr>
              <w:t xml:space="preserve"> In addition, it is almost ten years</w:t>
            </w:r>
            <w:r w:rsidR="00B81C0F">
              <w:rPr>
                <w:rFonts w:ascii="Arial" w:hAnsi="Arial" w:cs="Arial"/>
                <w:sz w:val="20"/>
                <w:szCs w:val="20"/>
              </w:rPr>
              <w:t xml:space="preserve"> old</w:t>
            </w:r>
            <w:r w:rsidR="008527AD">
              <w:rPr>
                <w:rFonts w:ascii="Arial" w:hAnsi="Arial" w:cs="Arial"/>
                <w:sz w:val="20"/>
                <w:szCs w:val="20"/>
              </w:rPr>
              <w:t>.</w:t>
            </w:r>
            <w:r>
              <w:rPr>
                <w:rFonts w:ascii="Arial" w:hAnsi="Arial" w:cs="Arial"/>
                <w:sz w:val="20"/>
                <w:szCs w:val="20"/>
              </w:rPr>
              <w:t xml:space="preserve"> Yet, it manages to gather the views of many authoritative researches.</w:t>
            </w:r>
          </w:p>
        </w:tc>
        <w:tc>
          <w:tcPr>
            <w:tcW w:w="2407" w:type="dxa"/>
          </w:tcPr>
          <w:p w14:paraId="7B8D32BF" w14:textId="77777777" w:rsidR="009E74AF" w:rsidRPr="009E74AF" w:rsidRDefault="005B7AA8" w:rsidP="008527AD">
            <w:pPr>
              <w:rPr>
                <w:rFonts w:ascii="Arial" w:hAnsi="Arial" w:cs="Arial"/>
                <w:sz w:val="20"/>
                <w:szCs w:val="20"/>
              </w:rPr>
            </w:pPr>
            <w:r>
              <w:rPr>
                <w:rFonts w:ascii="Arial" w:hAnsi="Arial" w:cs="Arial"/>
                <w:sz w:val="20"/>
                <w:szCs w:val="20"/>
              </w:rPr>
              <w:t>The author, who is a Harvard graduate, is quite well-known in the US as he has published many articles.</w:t>
            </w:r>
            <w:r w:rsidR="008527AD">
              <w:rPr>
                <w:rFonts w:ascii="Arial" w:hAnsi="Arial" w:cs="Arial"/>
                <w:sz w:val="20"/>
                <w:szCs w:val="20"/>
              </w:rPr>
              <w:t xml:space="preserve"> </w:t>
            </w:r>
          </w:p>
        </w:tc>
      </w:tr>
      <w:tr w:rsidR="009E74AF" w14:paraId="72993BCB" w14:textId="77777777" w:rsidTr="009E74AF">
        <w:tc>
          <w:tcPr>
            <w:tcW w:w="2407" w:type="dxa"/>
          </w:tcPr>
          <w:p w14:paraId="32EAAB77" w14:textId="77777777" w:rsidR="009E74AF" w:rsidRPr="00C152ED" w:rsidRDefault="00D72107" w:rsidP="00505907">
            <w:pPr>
              <w:rPr>
                <w:rFonts w:ascii="Arial" w:hAnsi="Arial" w:cs="Arial"/>
                <w:b/>
                <w:sz w:val="20"/>
                <w:szCs w:val="20"/>
              </w:rPr>
            </w:pPr>
            <w:r w:rsidRPr="00C152ED">
              <w:rPr>
                <w:rFonts w:ascii="Arial" w:hAnsi="Arial" w:cs="Arial"/>
                <w:b/>
                <w:sz w:val="20"/>
                <w:szCs w:val="20"/>
              </w:rPr>
              <w:t>D Moeckli “Stop and Search Under the Terrorism Act 2000: A Comment on R (Gillan) v Commissioner of Police for the Metropolis” (2007) 70(4) The Modern Law Review 659</w:t>
            </w:r>
          </w:p>
        </w:tc>
        <w:tc>
          <w:tcPr>
            <w:tcW w:w="2407" w:type="dxa"/>
          </w:tcPr>
          <w:p w14:paraId="6FC0C5FA" w14:textId="77777777" w:rsidR="009E74AF" w:rsidRPr="009E74AF" w:rsidRDefault="00BD1215" w:rsidP="0016240D">
            <w:pPr>
              <w:rPr>
                <w:rFonts w:ascii="Arial" w:hAnsi="Arial" w:cs="Arial"/>
                <w:sz w:val="20"/>
                <w:szCs w:val="20"/>
              </w:rPr>
            </w:pPr>
            <w:r>
              <w:rPr>
                <w:rFonts w:ascii="Arial" w:hAnsi="Arial" w:cs="Arial"/>
                <w:sz w:val="20"/>
                <w:szCs w:val="20"/>
              </w:rPr>
              <w:t xml:space="preserve">This article </w:t>
            </w:r>
            <w:r w:rsidR="008527AD">
              <w:rPr>
                <w:rFonts w:ascii="Arial" w:hAnsi="Arial" w:cs="Arial"/>
                <w:sz w:val="20"/>
                <w:szCs w:val="20"/>
              </w:rPr>
              <w:t xml:space="preserve">provides some interesting material both concerning stop and search powers and the case of Gillan. It </w:t>
            </w:r>
            <w:r w:rsidR="00384FEA">
              <w:rPr>
                <w:rFonts w:ascii="Arial" w:hAnsi="Arial" w:cs="Arial"/>
                <w:sz w:val="20"/>
                <w:szCs w:val="20"/>
              </w:rPr>
              <w:t xml:space="preserve">evaluates the judges’ reasoning in the case. </w:t>
            </w:r>
          </w:p>
        </w:tc>
        <w:tc>
          <w:tcPr>
            <w:tcW w:w="2407" w:type="dxa"/>
          </w:tcPr>
          <w:p w14:paraId="5177E82D" w14:textId="77777777" w:rsidR="009E74AF" w:rsidRPr="00FD5588" w:rsidRDefault="0016240D" w:rsidP="0016240D">
            <w:pPr>
              <w:rPr>
                <w:rFonts w:ascii="Arial" w:hAnsi="Arial" w:cs="Arial"/>
                <w:sz w:val="20"/>
                <w:szCs w:val="20"/>
              </w:rPr>
            </w:pPr>
            <w:r>
              <w:rPr>
                <w:rFonts w:ascii="Arial" w:hAnsi="Arial" w:cs="Arial"/>
                <w:sz w:val="20"/>
                <w:szCs w:val="20"/>
              </w:rPr>
              <w:t xml:space="preserve">The structure of the article is quite clear. In fact, the introduction outlines statutory powers, while the main body discusses Gillan.  The solutions which it proposes in its conclusion have been extremely helpful. </w:t>
            </w:r>
            <w:r w:rsidR="00FD5588">
              <w:rPr>
                <w:rFonts w:ascii="Arial" w:hAnsi="Arial" w:cs="Arial"/>
                <w:sz w:val="20"/>
                <w:szCs w:val="20"/>
              </w:rPr>
              <w:t xml:space="preserve">The range of sources makes the article seem extremely reliable. </w:t>
            </w:r>
            <w:r w:rsidR="008E1170">
              <w:rPr>
                <w:rFonts w:ascii="Arial" w:hAnsi="Arial" w:cs="Arial"/>
                <w:sz w:val="20"/>
                <w:szCs w:val="20"/>
              </w:rPr>
              <w:t xml:space="preserve">The statistical material which the author provides is accurate and supports his arguments extremely well. </w:t>
            </w:r>
          </w:p>
        </w:tc>
        <w:tc>
          <w:tcPr>
            <w:tcW w:w="2407" w:type="dxa"/>
          </w:tcPr>
          <w:p w14:paraId="0012F6F8" w14:textId="77777777" w:rsidR="009E74AF" w:rsidRPr="009E74AF" w:rsidRDefault="008E1170" w:rsidP="008E1170">
            <w:pPr>
              <w:rPr>
                <w:rFonts w:ascii="Arial" w:hAnsi="Arial" w:cs="Arial"/>
                <w:sz w:val="20"/>
                <w:szCs w:val="20"/>
              </w:rPr>
            </w:pPr>
            <w:r>
              <w:rPr>
                <w:rFonts w:ascii="Arial" w:hAnsi="Arial" w:cs="Arial"/>
                <w:sz w:val="20"/>
                <w:szCs w:val="20"/>
              </w:rPr>
              <w:t xml:space="preserve">The author draws upon a large number of sources. For example, the article cites newspapers, internet sites and several legal cases. In addition, the article was published on the Modern Law Review. Similarly, the author is both a professor in Zurich and a Fellow at Nottingham University. </w:t>
            </w:r>
            <w:r w:rsidR="0016240D">
              <w:rPr>
                <w:rFonts w:ascii="Arial" w:hAnsi="Arial" w:cs="Arial"/>
                <w:sz w:val="20"/>
                <w:szCs w:val="20"/>
              </w:rPr>
              <w:t>Although it was written before the ECtHR heard Gillan’s case, it nonetheless managed to anticipate many of the issues that would arise.</w:t>
            </w:r>
          </w:p>
        </w:tc>
      </w:tr>
      <w:tr w:rsidR="00D72107" w14:paraId="2F39DAE3" w14:textId="77777777" w:rsidTr="009E74AF">
        <w:tc>
          <w:tcPr>
            <w:tcW w:w="2407" w:type="dxa"/>
          </w:tcPr>
          <w:p w14:paraId="7B97C152" w14:textId="77777777" w:rsidR="00D72107" w:rsidRPr="00C152ED" w:rsidRDefault="00D72107" w:rsidP="00505907">
            <w:pPr>
              <w:rPr>
                <w:rFonts w:ascii="Arial" w:hAnsi="Arial" w:cs="Arial"/>
                <w:b/>
                <w:sz w:val="20"/>
                <w:szCs w:val="20"/>
              </w:rPr>
            </w:pPr>
            <w:r w:rsidRPr="00C152ED">
              <w:rPr>
                <w:rFonts w:ascii="Arial" w:hAnsi="Arial" w:cs="Arial"/>
                <w:b/>
                <w:sz w:val="20"/>
                <w:szCs w:val="20"/>
              </w:rPr>
              <w:t>B Muller-Wille,  “The Effect of International Terrorism on EU Intelligence Co-operation” (2008) 46 JCMS 49</w:t>
            </w:r>
          </w:p>
        </w:tc>
        <w:tc>
          <w:tcPr>
            <w:tcW w:w="2407" w:type="dxa"/>
          </w:tcPr>
          <w:p w14:paraId="07E067E5" w14:textId="77777777" w:rsidR="00D72107" w:rsidRPr="009E74AF" w:rsidRDefault="00470BFB" w:rsidP="00EF6216">
            <w:pPr>
              <w:rPr>
                <w:rFonts w:ascii="Arial" w:hAnsi="Arial" w:cs="Arial"/>
                <w:sz w:val="20"/>
                <w:szCs w:val="20"/>
              </w:rPr>
            </w:pPr>
            <w:r>
              <w:rPr>
                <w:rFonts w:ascii="Arial" w:hAnsi="Arial" w:cs="Arial"/>
                <w:sz w:val="20"/>
                <w:szCs w:val="20"/>
              </w:rPr>
              <w:t>The article is extremely relevant to the topic since it presents the response from European countrie</w:t>
            </w:r>
            <w:r w:rsidR="000563EA">
              <w:rPr>
                <w:rFonts w:ascii="Arial" w:hAnsi="Arial" w:cs="Arial"/>
                <w:sz w:val="20"/>
                <w:szCs w:val="20"/>
              </w:rPr>
              <w:t xml:space="preserve">s and the EU as an institution. The European approach is compared with the American one and helps understand why the ECtHR is more concerned than the US with human rights. </w:t>
            </w:r>
          </w:p>
        </w:tc>
        <w:tc>
          <w:tcPr>
            <w:tcW w:w="2407" w:type="dxa"/>
          </w:tcPr>
          <w:p w14:paraId="46FE6E78" w14:textId="77777777" w:rsidR="00D72107" w:rsidRPr="009E74AF" w:rsidRDefault="000563EA" w:rsidP="00FB4A60">
            <w:pPr>
              <w:rPr>
                <w:rFonts w:ascii="Arial" w:hAnsi="Arial" w:cs="Arial"/>
                <w:sz w:val="20"/>
                <w:szCs w:val="20"/>
              </w:rPr>
            </w:pPr>
            <w:r>
              <w:rPr>
                <w:rFonts w:ascii="Arial" w:hAnsi="Arial" w:cs="Arial"/>
                <w:sz w:val="20"/>
                <w:szCs w:val="20"/>
              </w:rPr>
              <w:t xml:space="preserve">The article is fairly recent and it can be considered quite up to date taking into account that –fingers crossed- terrorism </w:t>
            </w:r>
            <w:r w:rsidR="00EF6216">
              <w:rPr>
                <w:rFonts w:ascii="Arial" w:hAnsi="Arial" w:cs="Arial"/>
                <w:sz w:val="20"/>
                <w:szCs w:val="20"/>
              </w:rPr>
              <w:t xml:space="preserve">has not affected </w:t>
            </w:r>
            <w:r>
              <w:rPr>
                <w:rFonts w:ascii="Arial" w:hAnsi="Arial" w:cs="Arial"/>
                <w:sz w:val="20"/>
                <w:szCs w:val="20"/>
              </w:rPr>
              <w:t xml:space="preserve">Europe after 2008. Although the author’s view </w:t>
            </w:r>
            <w:r w:rsidR="00FB4A60">
              <w:rPr>
                <w:rFonts w:ascii="Arial" w:hAnsi="Arial" w:cs="Arial"/>
                <w:sz w:val="20"/>
                <w:szCs w:val="20"/>
              </w:rPr>
              <w:t xml:space="preserve">is </w:t>
            </w:r>
            <w:r>
              <w:rPr>
                <w:rFonts w:ascii="Arial" w:hAnsi="Arial" w:cs="Arial"/>
                <w:sz w:val="20"/>
                <w:szCs w:val="20"/>
              </w:rPr>
              <w:t>quite evident, the article presents</w:t>
            </w:r>
            <w:r w:rsidR="00CD2CCD">
              <w:rPr>
                <w:rFonts w:ascii="Arial" w:hAnsi="Arial" w:cs="Arial"/>
                <w:sz w:val="20"/>
                <w:szCs w:val="20"/>
              </w:rPr>
              <w:t xml:space="preserve"> information in a balanced way.</w:t>
            </w:r>
          </w:p>
        </w:tc>
        <w:tc>
          <w:tcPr>
            <w:tcW w:w="2407" w:type="dxa"/>
          </w:tcPr>
          <w:p w14:paraId="29E0C6DD" w14:textId="77777777" w:rsidR="00D72107" w:rsidRPr="009E74AF" w:rsidRDefault="000563EA" w:rsidP="00505907">
            <w:pPr>
              <w:rPr>
                <w:rFonts w:ascii="Arial" w:hAnsi="Arial" w:cs="Arial"/>
                <w:sz w:val="20"/>
                <w:szCs w:val="20"/>
              </w:rPr>
            </w:pPr>
            <w:r>
              <w:rPr>
                <w:rFonts w:ascii="Arial" w:hAnsi="Arial" w:cs="Arial"/>
                <w:sz w:val="20"/>
                <w:szCs w:val="20"/>
              </w:rPr>
              <w:t>The author is a leading expert in European polices and intelligence. In fact, he has published many articles on several different reviews. In addition, the Journal of Common Market Studies is the most up to date as far as European integration matters are concerned.</w:t>
            </w:r>
          </w:p>
        </w:tc>
      </w:tr>
      <w:tr w:rsidR="00D72107" w14:paraId="38CA4CAA" w14:textId="77777777" w:rsidTr="009E74AF">
        <w:tc>
          <w:tcPr>
            <w:tcW w:w="2407" w:type="dxa"/>
          </w:tcPr>
          <w:p w14:paraId="598EFEB2" w14:textId="77777777" w:rsidR="00D72107" w:rsidRPr="00C152ED" w:rsidRDefault="00D72107" w:rsidP="00505907">
            <w:pPr>
              <w:rPr>
                <w:rFonts w:ascii="Arial" w:hAnsi="Arial" w:cs="Arial"/>
                <w:b/>
                <w:sz w:val="20"/>
                <w:szCs w:val="20"/>
              </w:rPr>
            </w:pPr>
            <w:r w:rsidRPr="00C152ED">
              <w:rPr>
                <w:rFonts w:ascii="Arial" w:hAnsi="Arial" w:cs="Arial"/>
                <w:b/>
                <w:sz w:val="20"/>
                <w:szCs w:val="20"/>
              </w:rPr>
              <w:t>K Reid, “Race Issues and Stop and Search: Looking behind the Statistics” (2009) 73(2) The Journal of Criminal Law 165</w:t>
            </w:r>
          </w:p>
        </w:tc>
        <w:tc>
          <w:tcPr>
            <w:tcW w:w="2407" w:type="dxa"/>
          </w:tcPr>
          <w:p w14:paraId="5DCDD066" w14:textId="77777777" w:rsidR="00D72107" w:rsidRPr="009E74AF" w:rsidRDefault="002E5BA3" w:rsidP="004C63CB">
            <w:pPr>
              <w:rPr>
                <w:rFonts w:ascii="Arial" w:hAnsi="Arial" w:cs="Arial"/>
                <w:sz w:val="20"/>
                <w:szCs w:val="20"/>
              </w:rPr>
            </w:pPr>
            <w:r>
              <w:rPr>
                <w:rFonts w:ascii="Arial" w:hAnsi="Arial" w:cs="Arial"/>
                <w:sz w:val="20"/>
                <w:szCs w:val="20"/>
              </w:rPr>
              <w:t>This academic journal is extremely relevant to the topic. It addresses stop and search powers providing arguments which are quite recent and focus on the improvements that the government has tried to bring about.</w:t>
            </w:r>
            <w:r w:rsidR="00573317">
              <w:rPr>
                <w:rFonts w:ascii="Arial" w:hAnsi="Arial" w:cs="Arial"/>
                <w:sz w:val="20"/>
                <w:szCs w:val="20"/>
              </w:rPr>
              <w:t xml:space="preserve"> It discusses feelings rather than numbers.</w:t>
            </w:r>
          </w:p>
        </w:tc>
        <w:tc>
          <w:tcPr>
            <w:tcW w:w="2407" w:type="dxa"/>
          </w:tcPr>
          <w:p w14:paraId="3BC0BBD0" w14:textId="77777777" w:rsidR="00D72107" w:rsidRPr="009E74AF" w:rsidRDefault="004C63CB" w:rsidP="007579B8">
            <w:pPr>
              <w:rPr>
                <w:rFonts w:ascii="Arial" w:hAnsi="Arial" w:cs="Arial"/>
                <w:sz w:val="20"/>
                <w:szCs w:val="20"/>
              </w:rPr>
            </w:pPr>
            <w:r>
              <w:rPr>
                <w:rFonts w:ascii="Arial" w:hAnsi="Arial" w:cs="Arial"/>
                <w:sz w:val="20"/>
                <w:szCs w:val="20"/>
              </w:rPr>
              <w:t>The article is quite reliable as tries to draw a balance between negative and positive aspects of stop and search powers. Even though it focuses mostly on the improvements, it was very useful as it allowed to</w:t>
            </w:r>
            <w:r w:rsidR="007579B8">
              <w:rPr>
                <w:rFonts w:ascii="Arial" w:hAnsi="Arial" w:cs="Arial"/>
                <w:sz w:val="20"/>
                <w:szCs w:val="20"/>
              </w:rPr>
              <w:t xml:space="preserve"> find some flaws in</w:t>
            </w:r>
            <w:r>
              <w:rPr>
                <w:rFonts w:ascii="Arial" w:hAnsi="Arial" w:cs="Arial"/>
                <w:sz w:val="20"/>
                <w:szCs w:val="20"/>
              </w:rPr>
              <w:t xml:space="preserve"> Bowling’s article.</w:t>
            </w:r>
          </w:p>
        </w:tc>
        <w:tc>
          <w:tcPr>
            <w:tcW w:w="2407" w:type="dxa"/>
          </w:tcPr>
          <w:p w14:paraId="6BF1DD79" w14:textId="77777777" w:rsidR="00D72107" w:rsidRPr="009E74AF" w:rsidRDefault="004C63CB" w:rsidP="00482903">
            <w:pPr>
              <w:rPr>
                <w:rFonts w:ascii="Arial" w:hAnsi="Arial" w:cs="Arial"/>
                <w:sz w:val="20"/>
                <w:szCs w:val="20"/>
              </w:rPr>
            </w:pPr>
            <w:r>
              <w:rPr>
                <w:rFonts w:ascii="Arial" w:hAnsi="Arial" w:cs="Arial"/>
                <w:sz w:val="20"/>
                <w:szCs w:val="20"/>
              </w:rPr>
              <w:t>The author seems quite authoritative since he has written several articles on different journals and currently teaches at Liverpool University. In addition, his article was published on a ve</w:t>
            </w:r>
            <w:r w:rsidR="00482903">
              <w:rPr>
                <w:rFonts w:ascii="Arial" w:hAnsi="Arial" w:cs="Arial"/>
                <w:sz w:val="20"/>
                <w:szCs w:val="20"/>
              </w:rPr>
              <w:t xml:space="preserve">ry well-known academic journal. </w:t>
            </w:r>
            <w:r>
              <w:rPr>
                <w:rFonts w:ascii="Arial" w:hAnsi="Arial" w:cs="Arial"/>
                <w:sz w:val="20"/>
                <w:szCs w:val="20"/>
              </w:rPr>
              <w:t>Together with Bowling’s article, this was recommended in many stop and search reading lists.</w:t>
            </w:r>
          </w:p>
        </w:tc>
      </w:tr>
      <w:tr w:rsidR="00C152ED" w14:paraId="3BBCE70A" w14:textId="77777777" w:rsidTr="009E74AF">
        <w:tc>
          <w:tcPr>
            <w:tcW w:w="2407" w:type="dxa"/>
          </w:tcPr>
          <w:p w14:paraId="43EBEA34" w14:textId="77777777" w:rsidR="00C152ED" w:rsidRPr="00C152ED" w:rsidRDefault="00C152ED" w:rsidP="00505907">
            <w:pPr>
              <w:rPr>
                <w:rFonts w:ascii="Arial" w:hAnsi="Arial" w:cs="Arial"/>
                <w:b/>
                <w:sz w:val="20"/>
                <w:szCs w:val="20"/>
              </w:rPr>
            </w:pPr>
            <w:r w:rsidRPr="00C152ED">
              <w:rPr>
                <w:rFonts w:ascii="Arial" w:hAnsi="Arial" w:cs="Arial"/>
                <w:b/>
                <w:sz w:val="20"/>
                <w:szCs w:val="20"/>
              </w:rPr>
              <w:t>P. A. J. Waddington and others “In proportion: race, and police stop and search” (2004) 44 (6) British Journal of Criminology 889</w:t>
            </w:r>
          </w:p>
        </w:tc>
        <w:tc>
          <w:tcPr>
            <w:tcW w:w="2407" w:type="dxa"/>
          </w:tcPr>
          <w:p w14:paraId="4C849B91" w14:textId="77777777" w:rsidR="00C152ED" w:rsidRPr="006B5469" w:rsidRDefault="00BE5D7F" w:rsidP="0042434E">
            <w:pPr>
              <w:rPr>
                <w:rFonts w:ascii="Arial" w:hAnsi="Arial" w:cs="Arial"/>
                <w:sz w:val="20"/>
                <w:szCs w:val="20"/>
              </w:rPr>
            </w:pPr>
            <w:r>
              <w:rPr>
                <w:rFonts w:ascii="Arial" w:hAnsi="Arial" w:cs="Arial"/>
                <w:sz w:val="20"/>
                <w:szCs w:val="20"/>
              </w:rPr>
              <w:t>This article is extremely relevant since it d</w:t>
            </w:r>
            <w:r w:rsidR="0042434E">
              <w:rPr>
                <w:rFonts w:ascii="Arial" w:hAnsi="Arial" w:cs="Arial"/>
                <w:sz w:val="20"/>
                <w:szCs w:val="20"/>
              </w:rPr>
              <w:t>iscusses stop and search powers, focusing on the relation between minorities and policemen. Although it tries to explain why disproportionality arises, it does not deny that stop and search powers are discriminatory. It also provides useful statistical material.</w:t>
            </w:r>
          </w:p>
        </w:tc>
        <w:tc>
          <w:tcPr>
            <w:tcW w:w="2407" w:type="dxa"/>
          </w:tcPr>
          <w:p w14:paraId="1650D8E1" w14:textId="77777777" w:rsidR="00C152ED" w:rsidRPr="009E74AF" w:rsidRDefault="002A2C32" w:rsidP="00505907">
            <w:pPr>
              <w:rPr>
                <w:rFonts w:ascii="Arial" w:hAnsi="Arial" w:cs="Arial"/>
                <w:sz w:val="20"/>
                <w:szCs w:val="20"/>
              </w:rPr>
            </w:pPr>
            <w:r>
              <w:rPr>
                <w:rFonts w:ascii="Arial" w:hAnsi="Arial" w:cs="Arial"/>
                <w:sz w:val="20"/>
                <w:szCs w:val="20"/>
              </w:rPr>
              <w:t>The authors manage to present a balanced opinion and use a wide range of sources, which make seem the article very reliable. The article is more recent than many governmental publications, therefore illustrating more up to date figures.</w:t>
            </w:r>
          </w:p>
        </w:tc>
        <w:tc>
          <w:tcPr>
            <w:tcW w:w="2407" w:type="dxa"/>
          </w:tcPr>
          <w:p w14:paraId="369CE2FD" w14:textId="77777777" w:rsidR="00C152ED" w:rsidRPr="009E74AF" w:rsidRDefault="00DF74AF" w:rsidP="00DF74AF">
            <w:pPr>
              <w:rPr>
                <w:rFonts w:ascii="Arial" w:hAnsi="Arial" w:cs="Arial"/>
                <w:sz w:val="20"/>
                <w:szCs w:val="20"/>
              </w:rPr>
            </w:pPr>
            <w:r>
              <w:rPr>
                <w:rFonts w:ascii="Arial" w:hAnsi="Arial" w:cs="Arial"/>
                <w:sz w:val="20"/>
                <w:szCs w:val="20"/>
              </w:rPr>
              <w:t>Once again, the author, though not being a Law Lecturer</w:t>
            </w:r>
            <w:r w:rsidR="00482903">
              <w:rPr>
                <w:rFonts w:ascii="Arial" w:hAnsi="Arial" w:cs="Arial"/>
                <w:sz w:val="20"/>
                <w:szCs w:val="20"/>
              </w:rPr>
              <w:t>,</w:t>
            </w:r>
            <w:r>
              <w:rPr>
                <w:rFonts w:ascii="Arial" w:hAnsi="Arial" w:cs="Arial"/>
                <w:sz w:val="20"/>
                <w:szCs w:val="20"/>
              </w:rPr>
              <w:t xml:space="preserve"> is an expert in his field who has published lots of articles. Similarly, the British Journal of Criminology is probably the most authoritative as far as this topic is concerned. Besides,</w:t>
            </w:r>
            <w:r w:rsidR="00482903">
              <w:rPr>
                <w:rFonts w:ascii="Arial" w:hAnsi="Arial" w:cs="Arial"/>
                <w:sz w:val="20"/>
                <w:szCs w:val="20"/>
              </w:rPr>
              <w:t xml:space="preserve"> I believe</w:t>
            </w:r>
            <w:r>
              <w:rPr>
                <w:rFonts w:ascii="Arial" w:hAnsi="Arial" w:cs="Arial"/>
                <w:sz w:val="20"/>
                <w:szCs w:val="20"/>
              </w:rPr>
              <w:t xml:space="preserve"> Law and Criminology/Sociology are intertwined. </w:t>
            </w:r>
          </w:p>
        </w:tc>
      </w:tr>
      <w:tr w:rsidR="00C152ED" w14:paraId="6816A83A" w14:textId="77777777" w:rsidTr="009E74AF">
        <w:tc>
          <w:tcPr>
            <w:tcW w:w="2407" w:type="dxa"/>
          </w:tcPr>
          <w:p w14:paraId="58F85062" w14:textId="77777777" w:rsidR="00C152ED" w:rsidRPr="00C152ED" w:rsidRDefault="00C152ED" w:rsidP="00505907">
            <w:pPr>
              <w:rPr>
                <w:rFonts w:ascii="Arial" w:hAnsi="Arial" w:cs="Arial"/>
                <w:b/>
                <w:sz w:val="20"/>
                <w:szCs w:val="20"/>
              </w:rPr>
            </w:pPr>
            <w:r w:rsidRPr="00C152ED">
              <w:rPr>
                <w:rFonts w:ascii="Arial" w:hAnsi="Arial" w:cs="Arial"/>
                <w:b/>
                <w:sz w:val="20"/>
                <w:szCs w:val="20"/>
              </w:rPr>
              <w:t>C Warbrick “The European Response to Terrorism in an Age of Human Rights” (2004) 15(5) Eur J Int Law 989</w:t>
            </w:r>
          </w:p>
        </w:tc>
        <w:tc>
          <w:tcPr>
            <w:tcW w:w="2407" w:type="dxa"/>
          </w:tcPr>
          <w:p w14:paraId="4930B311" w14:textId="77777777" w:rsidR="007C12F1" w:rsidRPr="009E74AF" w:rsidRDefault="00B86049" w:rsidP="006972ED">
            <w:pPr>
              <w:rPr>
                <w:rFonts w:ascii="Arial" w:hAnsi="Arial" w:cs="Arial"/>
                <w:sz w:val="20"/>
                <w:szCs w:val="20"/>
              </w:rPr>
            </w:pPr>
            <w:r>
              <w:rPr>
                <w:rFonts w:ascii="Arial" w:hAnsi="Arial" w:cs="Arial"/>
                <w:sz w:val="20"/>
                <w:szCs w:val="20"/>
              </w:rPr>
              <w:t xml:space="preserve">This article is not </w:t>
            </w:r>
            <w:r w:rsidR="00800B6A">
              <w:rPr>
                <w:rFonts w:ascii="Arial" w:hAnsi="Arial" w:cs="Arial"/>
                <w:sz w:val="20"/>
                <w:szCs w:val="20"/>
              </w:rPr>
              <w:t>strictly linked</w:t>
            </w:r>
            <w:r>
              <w:rPr>
                <w:rFonts w:ascii="Arial" w:hAnsi="Arial" w:cs="Arial"/>
                <w:sz w:val="20"/>
                <w:szCs w:val="20"/>
              </w:rPr>
              <w:t xml:space="preserve"> to stop and search powers. However, since –in my opin</w:t>
            </w:r>
            <w:r w:rsidR="006972ED">
              <w:rPr>
                <w:rFonts w:ascii="Arial" w:hAnsi="Arial" w:cs="Arial"/>
                <w:sz w:val="20"/>
                <w:szCs w:val="20"/>
              </w:rPr>
              <w:t>ion- stop and search powers have an impact on the relationship between the public and the i</w:t>
            </w:r>
            <w:r>
              <w:rPr>
                <w:rFonts w:ascii="Arial" w:hAnsi="Arial" w:cs="Arial"/>
                <w:sz w:val="20"/>
                <w:szCs w:val="20"/>
              </w:rPr>
              <w:t>ndividual, I thought that public law</w:t>
            </w:r>
            <w:r w:rsidR="007C12F1">
              <w:rPr>
                <w:rFonts w:ascii="Arial" w:hAnsi="Arial" w:cs="Arial"/>
                <w:sz w:val="20"/>
                <w:szCs w:val="20"/>
              </w:rPr>
              <w:t xml:space="preserve"> </w:t>
            </w:r>
            <w:r w:rsidR="000B1B8B">
              <w:rPr>
                <w:rFonts w:ascii="Arial" w:hAnsi="Arial" w:cs="Arial"/>
                <w:sz w:val="20"/>
                <w:szCs w:val="20"/>
              </w:rPr>
              <w:t>should be addressed. This article discusses public law issues from a European perspective.</w:t>
            </w:r>
          </w:p>
        </w:tc>
        <w:tc>
          <w:tcPr>
            <w:tcW w:w="2407" w:type="dxa"/>
          </w:tcPr>
          <w:p w14:paraId="6C52697E" w14:textId="77777777" w:rsidR="00C152ED" w:rsidRPr="009E74AF" w:rsidRDefault="00425EC9" w:rsidP="00023BF2">
            <w:pPr>
              <w:rPr>
                <w:rFonts w:ascii="Arial" w:hAnsi="Arial" w:cs="Arial"/>
                <w:sz w:val="20"/>
                <w:szCs w:val="20"/>
              </w:rPr>
            </w:pPr>
            <w:r>
              <w:rPr>
                <w:rFonts w:ascii="Arial" w:hAnsi="Arial" w:cs="Arial"/>
                <w:sz w:val="20"/>
                <w:szCs w:val="20"/>
              </w:rPr>
              <w:t xml:space="preserve">This article is extremely reliable because of the wide range of sources which it uses. For example, it often cites the Council of Europe’s publications. The article is quite balanced and puts a great focus on fundamental rights and doctrines. It is interesting because it was written before the July 2005 attacks, whereas Muller-Wille’s article was published three years after they had taken place.  </w:t>
            </w:r>
            <w:r w:rsidR="00023BF2">
              <w:rPr>
                <w:rFonts w:ascii="Arial" w:hAnsi="Arial" w:cs="Arial"/>
                <w:sz w:val="20"/>
                <w:szCs w:val="20"/>
              </w:rPr>
              <w:t>I could have drawn a comparison between these two “European” articles.</w:t>
            </w:r>
          </w:p>
        </w:tc>
        <w:tc>
          <w:tcPr>
            <w:tcW w:w="2407" w:type="dxa"/>
          </w:tcPr>
          <w:p w14:paraId="30A5EA34" w14:textId="77777777" w:rsidR="00C152ED" w:rsidRPr="009E74AF" w:rsidRDefault="008616D2" w:rsidP="008616D2">
            <w:pPr>
              <w:rPr>
                <w:rFonts w:ascii="Arial" w:hAnsi="Arial" w:cs="Arial"/>
                <w:sz w:val="20"/>
                <w:szCs w:val="20"/>
              </w:rPr>
            </w:pPr>
            <w:r>
              <w:rPr>
                <w:rFonts w:ascii="Arial" w:hAnsi="Arial" w:cs="Arial"/>
                <w:sz w:val="20"/>
                <w:szCs w:val="20"/>
              </w:rPr>
              <w:t xml:space="preserve">The article is quite authoritative as it was published on the European Journal of International Law. The author is also a well-known Professor of the University or Birmingham who has written books and articles. It is therefore intriguing to find out the view of a British lecturer who is an expert in Human Rights and European Law. </w:t>
            </w:r>
          </w:p>
        </w:tc>
      </w:tr>
    </w:tbl>
    <w:p w14:paraId="4840A305" w14:textId="77777777" w:rsidR="009E74AF" w:rsidRDefault="009E74AF" w:rsidP="00505907">
      <w:pPr>
        <w:ind w:left="1417"/>
        <w:rPr>
          <w:rFonts w:ascii="Arial" w:hAnsi="Arial" w:cs="Arial"/>
          <w:sz w:val="32"/>
          <w:szCs w:val="32"/>
        </w:rPr>
      </w:pPr>
    </w:p>
    <w:p w14:paraId="72BACA82" w14:textId="77777777" w:rsidR="009E74AF" w:rsidRDefault="009E74AF" w:rsidP="009E74AF">
      <w:pPr>
        <w:ind w:left="1417"/>
        <w:rPr>
          <w:rFonts w:ascii="Arial" w:hAnsi="Arial" w:cs="Arial"/>
          <w:sz w:val="24"/>
          <w:szCs w:val="24"/>
        </w:rPr>
      </w:pPr>
    </w:p>
    <w:tbl>
      <w:tblPr>
        <w:tblStyle w:val="GridTableLight"/>
        <w:tblW w:w="0" w:type="auto"/>
        <w:tblLook w:val="04A0" w:firstRow="1" w:lastRow="0" w:firstColumn="1" w:lastColumn="0" w:noHBand="0" w:noVBand="1"/>
      </w:tblPr>
      <w:tblGrid>
        <w:gridCol w:w="1983"/>
        <w:gridCol w:w="2602"/>
        <w:gridCol w:w="2543"/>
        <w:gridCol w:w="2500"/>
      </w:tblGrid>
      <w:tr w:rsidR="000A6F25" w14:paraId="30F3C250" w14:textId="77777777" w:rsidTr="00456D5A">
        <w:trPr>
          <w:trHeight w:val="548"/>
        </w:trPr>
        <w:tc>
          <w:tcPr>
            <w:tcW w:w="1983" w:type="dxa"/>
          </w:tcPr>
          <w:p w14:paraId="02F7D950" w14:textId="77777777" w:rsidR="000A6F25" w:rsidRDefault="000A6F25" w:rsidP="00456D5A">
            <w:pPr>
              <w:jc w:val="center"/>
              <w:rPr>
                <w:rFonts w:ascii="Arial" w:hAnsi="Arial" w:cs="Arial"/>
                <w:b/>
                <w:sz w:val="32"/>
                <w:szCs w:val="32"/>
              </w:rPr>
            </w:pPr>
            <w:r>
              <w:rPr>
                <w:rFonts w:ascii="Arial" w:hAnsi="Arial" w:cs="Arial"/>
                <w:b/>
                <w:sz w:val="32"/>
                <w:szCs w:val="32"/>
              </w:rPr>
              <w:t>Halsbury</w:t>
            </w:r>
          </w:p>
          <w:p w14:paraId="79587DBE" w14:textId="77777777" w:rsidR="000A6F25" w:rsidRPr="00D011EC" w:rsidRDefault="000A6F25" w:rsidP="000A6F25">
            <w:pPr>
              <w:jc w:val="center"/>
              <w:rPr>
                <w:rFonts w:ascii="Arial" w:hAnsi="Arial" w:cs="Arial"/>
                <w:b/>
                <w:sz w:val="24"/>
                <w:szCs w:val="24"/>
              </w:rPr>
            </w:pPr>
            <w:r w:rsidRPr="00D011EC">
              <w:rPr>
                <w:rFonts w:ascii="Arial" w:hAnsi="Arial" w:cs="Arial"/>
                <w:b/>
                <w:sz w:val="24"/>
                <w:szCs w:val="24"/>
              </w:rPr>
              <w:t>(</w:t>
            </w:r>
            <w:r>
              <w:rPr>
                <w:rFonts w:ascii="Arial" w:hAnsi="Arial" w:cs="Arial"/>
                <w:b/>
                <w:sz w:val="24"/>
                <w:szCs w:val="24"/>
              </w:rPr>
              <w:t>secondary</w:t>
            </w:r>
            <w:r w:rsidRPr="00D011EC">
              <w:rPr>
                <w:rFonts w:ascii="Arial" w:hAnsi="Arial" w:cs="Arial"/>
                <w:b/>
                <w:sz w:val="24"/>
                <w:szCs w:val="24"/>
              </w:rPr>
              <w:t xml:space="preserve"> source)</w:t>
            </w:r>
          </w:p>
        </w:tc>
        <w:tc>
          <w:tcPr>
            <w:tcW w:w="2602" w:type="dxa"/>
          </w:tcPr>
          <w:p w14:paraId="52DCDE42" w14:textId="77777777" w:rsidR="000A6F25" w:rsidRDefault="000A6F25" w:rsidP="00456D5A">
            <w:pPr>
              <w:jc w:val="center"/>
              <w:rPr>
                <w:rFonts w:ascii="Arial" w:hAnsi="Arial" w:cs="Arial"/>
                <w:sz w:val="32"/>
                <w:szCs w:val="32"/>
              </w:rPr>
            </w:pPr>
            <w:r>
              <w:rPr>
                <w:rFonts w:ascii="Arial" w:hAnsi="Arial" w:cs="Arial"/>
                <w:sz w:val="32"/>
                <w:szCs w:val="32"/>
              </w:rPr>
              <w:t>Relevance</w:t>
            </w:r>
          </w:p>
        </w:tc>
        <w:tc>
          <w:tcPr>
            <w:tcW w:w="2543" w:type="dxa"/>
          </w:tcPr>
          <w:p w14:paraId="7E475AAC" w14:textId="77777777" w:rsidR="000A6F25" w:rsidRDefault="000A6F25" w:rsidP="00456D5A">
            <w:pPr>
              <w:jc w:val="center"/>
              <w:rPr>
                <w:rFonts w:ascii="Arial" w:hAnsi="Arial" w:cs="Arial"/>
                <w:sz w:val="32"/>
                <w:szCs w:val="32"/>
              </w:rPr>
            </w:pPr>
            <w:r>
              <w:rPr>
                <w:rFonts w:ascii="Arial" w:hAnsi="Arial" w:cs="Arial"/>
                <w:sz w:val="32"/>
                <w:szCs w:val="32"/>
              </w:rPr>
              <w:t>Reliability</w:t>
            </w:r>
          </w:p>
        </w:tc>
        <w:tc>
          <w:tcPr>
            <w:tcW w:w="2500" w:type="dxa"/>
          </w:tcPr>
          <w:p w14:paraId="126E6A61" w14:textId="77777777" w:rsidR="000A6F25" w:rsidRDefault="000A6F25" w:rsidP="00456D5A">
            <w:pPr>
              <w:jc w:val="center"/>
              <w:rPr>
                <w:rFonts w:ascii="Arial" w:hAnsi="Arial" w:cs="Arial"/>
                <w:sz w:val="32"/>
                <w:szCs w:val="32"/>
              </w:rPr>
            </w:pPr>
            <w:r>
              <w:rPr>
                <w:rFonts w:ascii="Arial" w:hAnsi="Arial" w:cs="Arial"/>
                <w:sz w:val="32"/>
                <w:szCs w:val="32"/>
              </w:rPr>
              <w:t>Weight of Authority</w:t>
            </w:r>
          </w:p>
        </w:tc>
      </w:tr>
      <w:tr w:rsidR="00B81B6F" w14:paraId="59A073EE" w14:textId="77777777" w:rsidTr="00456D5A">
        <w:trPr>
          <w:trHeight w:val="548"/>
        </w:trPr>
        <w:tc>
          <w:tcPr>
            <w:tcW w:w="1983" w:type="dxa"/>
          </w:tcPr>
          <w:p w14:paraId="12723DF3" w14:textId="77777777" w:rsidR="00B81B6F" w:rsidRPr="0063028B" w:rsidRDefault="00B81B6F" w:rsidP="00456D5A">
            <w:pPr>
              <w:jc w:val="center"/>
              <w:rPr>
                <w:rFonts w:ascii="Arial" w:hAnsi="Arial" w:cs="Arial"/>
                <w:b/>
                <w:sz w:val="20"/>
                <w:szCs w:val="20"/>
              </w:rPr>
            </w:pPr>
            <w:r w:rsidRPr="0063028B">
              <w:rPr>
                <w:rFonts w:ascii="Arial" w:hAnsi="Arial" w:cs="Arial"/>
                <w:b/>
                <w:sz w:val="20"/>
                <w:szCs w:val="20"/>
              </w:rPr>
              <w:t>Halsbury’s Laws of England (5th Edition, 2013) vol 88A, para 4(11), (available online, LexisLibrary)</w:t>
            </w:r>
          </w:p>
        </w:tc>
        <w:tc>
          <w:tcPr>
            <w:tcW w:w="2602" w:type="dxa"/>
          </w:tcPr>
          <w:p w14:paraId="43BF404F" w14:textId="77777777" w:rsidR="00B81B6F" w:rsidRPr="007D5EEE" w:rsidRDefault="007D5EEE" w:rsidP="00456D5A">
            <w:pPr>
              <w:jc w:val="center"/>
              <w:rPr>
                <w:rFonts w:ascii="Arial" w:hAnsi="Arial" w:cs="Arial"/>
                <w:sz w:val="20"/>
                <w:szCs w:val="20"/>
              </w:rPr>
            </w:pPr>
            <w:r>
              <w:rPr>
                <w:rFonts w:ascii="Arial" w:hAnsi="Arial" w:cs="Arial"/>
                <w:sz w:val="20"/>
                <w:szCs w:val="20"/>
              </w:rPr>
              <w:t>This source is extremely relevant as it allows to refine one’s search more and more. In fact, it is possible to read general information about the statutory provisions regulating stop and search powers and their chronology as well as finding more specific information. Accessing Halsbury helped me understand better what statutory provisions were no longer in force and how they had been replaced.</w:t>
            </w:r>
          </w:p>
        </w:tc>
        <w:tc>
          <w:tcPr>
            <w:tcW w:w="2543" w:type="dxa"/>
          </w:tcPr>
          <w:p w14:paraId="1B12F6E9" w14:textId="77777777" w:rsidR="00B81B6F" w:rsidRPr="007D5EEE" w:rsidRDefault="007D5EEE" w:rsidP="00023BF2">
            <w:pPr>
              <w:jc w:val="center"/>
              <w:rPr>
                <w:rFonts w:ascii="Arial" w:hAnsi="Arial" w:cs="Arial"/>
                <w:sz w:val="20"/>
                <w:szCs w:val="20"/>
              </w:rPr>
            </w:pPr>
            <w:r>
              <w:rPr>
                <w:rFonts w:ascii="Arial" w:hAnsi="Arial" w:cs="Arial"/>
                <w:sz w:val="20"/>
                <w:szCs w:val="20"/>
              </w:rPr>
              <w:t xml:space="preserve">Halsbury is extremely reliable, since it is the most up to date legal encyclopaedia. Although it exists both on hard copy and online, it is not easy to find.  </w:t>
            </w:r>
          </w:p>
        </w:tc>
        <w:tc>
          <w:tcPr>
            <w:tcW w:w="2500" w:type="dxa"/>
          </w:tcPr>
          <w:p w14:paraId="419704D0" w14:textId="77777777" w:rsidR="00B81B6F" w:rsidRPr="007D5EEE" w:rsidRDefault="007D5EEE" w:rsidP="00E244A2">
            <w:pPr>
              <w:jc w:val="center"/>
              <w:rPr>
                <w:rFonts w:ascii="Arial" w:hAnsi="Arial" w:cs="Arial"/>
                <w:sz w:val="20"/>
                <w:szCs w:val="20"/>
              </w:rPr>
            </w:pPr>
            <w:r>
              <w:rPr>
                <w:rFonts w:ascii="Arial" w:hAnsi="Arial" w:cs="Arial"/>
                <w:sz w:val="20"/>
                <w:szCs w:val="20"/>
              </w:rPr>
              <w:t xml:space="preserve">It is the most authoritative legal encyclopaedia. </w:t>
            </w:r>
          </w:p>
        </w:tc>
      </w:tr>
    </w:tbl>
    <w:p w14:paraId="7B8C5F87" w14:textId="77777777" w:rsidR="000A6F25" w:rsidRDefault="000A6F25" w:rsidP="009E74AF">
      <w:pPr>
        <w:ind w:left="1417"/>
        <w:rPr>
          <w:rFonts w:ascii="Arial" w:hAnsi="Arial" w:cs="Arial"/>
          <w:sz w:val="24"/>
          <w:szCs w:val="24"/>
        </w:rPr>
      </w:pPr>
    </w:p>
    <w:tbl>
      <w:tblPr>
        <w:tblStyle w:val="GridTableLight"/>
        <w:tblW w:w="0" w:type="auto"/>
        <w:tblLook w:val="04A0" w:firstRow="1" w:lastRow="0" w:firstColumn="1" w:lastColumn="0" w:noHBand="0" w:noVBand="1"/>
      </w:tblPr>
      <w:tblGrid>
        <w:gridCol w:w="1983"/>
        <w:gridCol w:w="2602"/>
        <w:gridCol w:w="2543"/>
        <w:gridCol w:w="2500"/>
      </w:tblGrid>
      <w:tr w:rsidR="0063028B" w14:paraId="0498B37A" w14:textId="77777777" w:rsidTr="0063028B">
        <w:trPr>
          <w:trHeight w:val="548"/>
        </w:trPr>
        <w:tc>
          <w:tcPr>
            <w:tcW w:w="1983" w:type="dxa"/>
          </w:tcPr>
          <w:p w14:paraId="5339B7BA" w14:textId="77777777" w:rsidR="0063028B" w:rsidRDefault="0063028B" w:rsidP="00456D5A">
            <w:pPr>
              <w:jc w:val="center"/>
              <w:rPr>
                <w:rFonts w:ascii="Arial" w:hAnsi="Arial" w:cs="Arial"/>
                <w:b/>
                <w:sz w:val="32"/>
                <w:szCs w:val="32"/>
              </w:rPr>
            </w:pPr>
            <w:r>
              <w:rPr>
                <w:rFonts w:ascii="Arial" w:hAnsi="Arial" w:cs="Arial"/>
                <w:b/>
                <w:sz w:val="32"/>
                <w:szCs w:val="32"/>
              </w:rPr>
              <w:t>Textbooks</w:t>
            </w:r>
          </w:p>
          <w:p w14:paraId="684A33CF" w14:textId="77777777" w:rsidR="0063028B" w:rsidRPr="00D011EC" w:rsidRDefault="0063028B" w:rsidP="00456D5A">
            <w:pPr>
              <w:jc w:val="center"/>
              <w:rPr>
                <w:rFonts w:ascii="Arial" w:hAnsi="Arial" w:cs="Arial"/>
                <w:b/>
                <w:sz w:val="24"/>
                <w:szCs w:val="24"/>
              </w:rPr>
            </w:pPr>
            <w:r w:rsidRPr="00D011EC">
              <w:rPr>
                <w:rFonts w:ascii="Arial" w:hAnsi="Arial" w:cs="Arial"/>
                <w:b/>
                <w:sz w:val="24"/>
                <w:szCs w:val="24"/>
              </w:rPr>
              <w:t>(</w:t>
            </w:r>
            <w:r>
              <w:rPr>
                <w:rFonts w:ascii="Arial" w:hAnsi="Arial" w:cs="Arial"/>
                <w:b/>
                <w:sz w:val="24"/>
                <w:szCs w:val="24"/>
              </w:rPr>
              <w:t>secondary</w:t>
            </w:r>
            <w:r w:rsidRPr="00D011EC">
              <w:rPr>
                <w:rFonts w:ascii="Arial" w:hAnsi="Arial" w:cs="Arial"/>
                <w:b/>
                <w:sz w:val="24"/>
                <w:szCs w:val="24"/>
              </w:rPr>
              <w:t xml:space="preserve"> source</w:t>
            </w:r>
            <w:r>
              <w:rPr>
                <w:rFonts w:ascii="Arial" w:hAnsi="Arial" w:cs="Arial"/>
                <w:b/>
                <w:sz w:val="24"/>
                <w:szCs w:val="24"/>
              </w:rPr>
              <w:t>s</w:t>
            </w:r>
            <w:r w:rsidRPr="00D011EC">
              <w:rPr>
                <w:rFonts w:ascii="Arial" w:hAnsi="Arial" w:cs="Arial"/>
                <w:b/>
                <w:sz w:val="24"/>
                <w:szCs w:val="24"/>
              </w:rPr>
              <w:t>)</w:t>
            </w:r>
          </w:p>
        </w:tc>
        <w:tc>
          <w:tcPr>
            <w:tcW w:w="2602" w:type="dxa"/>
          </w:tcPr>
          <w:p w14:paraId="01B272DB" w14:textId="77777777" w:rsidR="0063028B" w:rsidRDefault="0063028B" w:rsidP="00456D5A">
            <w:pPr>
              <w:jc w:val="center"/>
              <w:rPr>
                <w:rFonts w:ascii="Arial" w:hAnsi="Arial" w:cs="Arial"/>
                <w:sz w:val="32"/>
                <w:szCs w:val="32"/>
              </w:rPr>
            </w:pPr>
            <w:r>
              <w:rPr>
                <w:rFonts w:ascii="Arial" w:hAnsi="Arial" w:cs="Arial"/>
                <w:sz w:val="32"/>
                <w:szCs w:val="32"/>
              </w:rPr>
              <w:t>Relevance</w:t>
            </w:r>
          </w:p>
        </w:tc>
        <w:tc>
          <w:tcPr>
            <w:tcW w:w="2543" w:type="dxa"/>
          </w:tcPr>
          <w:p w14:paraId="35ECE931" w14:textId="77777777" w:rsidR="0063028B" w:rsidRDefault="0063028B" w:rsidP="00456D5A">
            <w:pPr>
              <w:jc w:val="center"/>
              <w:rPr>
                <w:rFonts w:ascii="Arial" w:hAnsi="Arial" w:cs="Arial"/>
                <w:sz w:val="32"/>
                <w:szCs w:val="32"/>
              </w:rPr>
            </w:pPr>
            <w:r>
              <w:rPr>
                <w:rFonts w:ascii="Arial" w:hAnsi="Arial" w:cs="Arial"/>
                <w:sz w:val="32"/>
                <w:szCs w:val="32"/>
              </w:rPr>
              <w:t>Reliability</w:t>
            </w:r>
          </w:p>
        </w:tc>
        <w:tc>
          <w:tcPr>
            <w:tcW w:w="2500" w:type="dxa"/>
          </w:tcPr>
          <w:p w14:paraId="5CBAC808" w14:textId="77777777" w:rsidR="0063028B" w:rsidRDefault="0063028B" w:rsidP="00456D5A">
            <w:pPr>
              <w:jc w:val="center"/>
              <w:rPr>
                <w:rFonts w:ascii="Arial" w:hAnsi="Arial" w:cs="Arial"/>
                <w:sz w:val="32"/>
                <w:szCs w:val="32"/>
              </w:rPr>
            </w:pPr>
            <w:r>
              <w:rPr>
                <w:rFonts w:ascii="Arial" w:hAnsi="Arial" w:cs="Arial"/>
                <w:sz w:val="32"/>
                <w:szCs w:val="32"/>
              </w:rPr>
              <w:t>Weight of Authority</w:t>
            </w:r>
          </w:p>
        </w:tc>
      </w:tr>
      <w:tr w:rsidR="0063028B" w:rsidRPr="0063028B" w14:paraId="4D81FC5D" w14:textId="77777777" w:rsidTr="0063028B">
        <w:trPr>
          <w:trHeight w:val="548"/>
        </w:trPr>
        <w:tc>
          <w:tcPr>
            <w:tcW w:w="1983" w:type="dxa"/>
          </w:tcPr>
          <w:p w14:paraId="7129F741" w14:textId="77777777" w:rsidR="0063028B" w:rsidRPr="0063028B" w:rsidRDefault="0063028B" w:rsidP="00456D5A">
            <w:pPr>
              <w:jc w:val="center"/>
              <w:rPr>
                <w:rFonts w:ascii="Arial" w:hAnsi="Arial" w:cs="Arial"/>
                <w:b/>
                <w:sz w:val="20"/>
                <w:szCs w:val="20"/>
              </w:rPr>
            </w:pPr>
            <w:r w:rsidRPr="0063028B">
              <w:rPr>
                <w:rFonts w:ascii="Arial" w:hAnsi="Arial" w:cs="Arial"/>
                <w:b/>
                <w:sz w:val="20"/>
                <w:szCs w:val="20"/>
              </w:rPr>
              <w:t>C Elliott &amp; F Quinn,  English Legal System  (11th edition, Pearson Education Ltd, Harlow, 2010)</w:t>
            </w:r>
          </w:p>
        </w:tc>
        <w:tc>
          <w:tcPr>
            <w:tcW w:w="2602" w:type="dxa"/>
          </w:tcPr>
          <w:p w14:paraId="71FF71B2" w14:textId="77777777" w:rsidR="0063028B" w:rsidRPr="0063028B" w:rsidRDefault="0063028B" w:rsidP="00977781">
            <w:pPr>
              <w:jc w:val="center"/>
              <w:rPr>
                <w:rFonts w:ascii="Arial" w:hAnsi="Arial" w:cs="Arial"/>
                <w:sz w:val="20"/>
                <w:szCs w:val="20"/>
              </w:rPr>
            </w:pPr>
            <w:r>
              <w:rPr>
                <w:rFonts w:ascii="Arial" w:hAnsi="Arial" w:cs="Arial"/>
                <w:sz w:val="20"/>
                <w:szCs w:val="20"/>
              </w:rPr>
              <w:t>This textbook is relevant to the topic since it de</w:t>
            </w:r>
            <w:r w:rsidR="00977781">
              <w:rPr>
                <w:rFonts w:ascii="Arial" w:hAnsi="Arial" w:cs="Arial"/>
                <w:sz w:val="20"/>
                <w:szCs w:val="20"/>
              </w:rPr>
              <w:t xml:space="preserve">votes </w:t>
            </w:r>
            <w:r>
              <w:rPr>
                <w:rFonts w:ascii="Arial" w:hAnsi="Arial" w:cs="Arial"/>
                <w:sz w:val="20"/>
                <w:szCs w:val="20"/>
              </w:rPr>
              <w:t xml:space="preserve">quite a few pages to stop and search powers and outlines the chronology of the statutory provisions. </w:t>
            </w:r>
          </w:p>
        </w:tc>
        <w:tc>
          <w:tcPr>
            <w:tcW w:w="2543" w:type="dxa"/>
          </w:tcPr>
          <w:p w14:paraId="6FB9A7E2" w14:textId="77777777" w:rsidR="0063028B" w:rsidRPr="0063028B" w:rsidRDefault="0063028B" w:rsidP="00AC3EA1">
            <w:pPr>
              <w:jc w:val="center"/>
              <w:rPr>
                <w:rFonts w:ascii="Arial" w:hAnsi="Arial" w:cs="Arial"/>
                <w:sz w:val="20"/>
                <w:szCs w:val="20"/>
              </w:rPr>
            </w:pPr>
            <w:r>
              <w:rPr>
                <w:rFonts w:ascii="Arial" w:hAnsi="Arial" w:cs="Arial"/>
                <w:sz w:val="20"/>
                <w:szCs w:val="20"/>
              </w:rPr>
              <w:t>The textbook provide</w:t>
            </w:r>
            <w:r w:rsidR="000372FB">
              <w:rPr>
                <w:rFonts w:ascii="Arial" w:hAnsi="Arial" w:cs="Arial"/>
                <w:sz w:val="20"/>
                <w:szCs w:val="20"/>
              </w:rPr>
              <w:t>s</w:t>
            </w:r>
            <w:r>
              <w:rPr>
                <w:rFonts w:ascii="Arial" w:hAnsi="Arial" w:cs="Arial"/>
                <w:sz w:val="20"/>
                <w:szCs w:val="20"/>
              </w:rPr>
              <w:t xml:space="preserve"> a well-organised overview of the facts relating to stop and search powers. However, it is slightly out of date though being only for years old. For example, there is no mention of the PoFA 2012. That is why up to date encyclopaedia such as Halsbury must be consulted, otherwise one risks missing out some </w:t>
            </w:r>
            <w:r w:rsidR="00AC3EA1">
              <w:rPr>
                <w:rFonts w:ascii="Arial" w:hAnsi="Arial" w:cs="Arial"/>
                <w:sz w:val="20"/>
                <w:szCs w:val="20"/>
              </w:rPr>
              <w:t xml:space="preserve">crucial </w:t>
            </w:r>
            <w:r>
              <w:rPr>
                <w:rFonts w:ascii="Arial" w:hAnsi="Arial" w:cs="Arial"/>
                <w:sz w:val="20"/>
                <w:szCs w:val="20"/>
              </w:rPr>
              <w:t>facts</w:t>
            </w:r>
            <w:r w:rsidR="00AC3EA1">
              <w:rPr>
                <w:rFonts w:ascii="Arial" w:hAnsi="Arial" w:cs="Arial"/>
                <w:sz w:val="20"/>
                <w:szCs w:val="20"/>
              </w:rPr>
              <w:t xml:space="preserve"> which have taken place after textbooks were published</w:t>
            </w:r>
            <w:r>
              <w:rPr>
                <w:rFonts w:ascii="Arial" w:hAnsi="Arial" w:cs="Arial"/>
                <w:sz w:val="20"/>
                <w:szCs w:val="20"/>
              </w:rPr>
              <w:t>.</w:t>
            </w:r>
            <w:r w:rsidR="00722F38">
              <w:rPr>
                <w:rFonts w:ascii="Arial" w:hAnsi="Arial" w:cs="Arial"/>
                <w:sz w:val="20"/>
                <w:szCs w:val="20"/>
              </w:rPr>
              <w:t xml:space="preserve"> Yet, textbooks are still important because they give unbiased information, unlike most journals.</w:t>
            </w:r>
          </w:p>
        </w:tc>
        <w:tc>
          <w:tcPr>
            <w:tcW w:w="2500" w:type="dxa"/>
          </w:tcPr>
          <w:p w14:paraId="406A6A6F" w14:textId="77777777" w:rsidR="0063028B" w:rsidRPr="0063028B" w:rsidRDefault="00722F38" w:rsidP="00456D5A">
            <w:pPr>
              <w:jc w:val="center"/>
              <w:rPr>
                <w:rFonts w:ascii="Arial" w:hAnsi="Arial" w:cs="Arial"/>
                <w:sz w:val="20"/>
                <w:szCs w:val="20"/>
              </w:rPr>
            </w:pPr>
            <w:r>
              <w:rPr>
                <w:rFonts w:ascii="Arial" w:hAnsi="Arial" w:cs="Arial"/>
                <w:sz w:val="20"/>
                <w:szCs w:val="20"/>
              </w:rPr>
              <w:t>The textbook is extremely authoritative since both authors are extremely renowned and have published several books and articles together.</w:t>
            </w:r>
          </w:p>
        </w:tc>
      </w:tr>
      <w:tr w:rsidR="0063028B" w:rsidRPr="0063028B" w14:paraId="3650D422" w14:textId="77777777" w:rsidTr="0063028B">
        <w:trPr>
          <w:trHeight w:val="548"/>
        </w:trPr>
        <w:tc>
          <w:tcPr>
            <w:tcW w:w="1983" w:type="dxa"/>
          </w:tcPr>
          <w:p w14:paraId="0EBB6609" w14:textId="77777777" w:rsidR="0063028B" w:rsidRPr="0063028B" w:rsidRDefault="00AD229D" w:rsidP="00456D5A">
            <w:pPr>
              <w:jc w:val="center"/>
              <w:rPr>
                <w:rFonts w:ascii="Arial" w:hAnsi="Arial" w:cs="Arial"/>
                <w:b/>
                <w:sz w:val="20"/>
                <w:szCs w:val="20"/>
              </w:rPr>
            </w:pPr>
            <w:r w:rsidRPr="00AD229D">
              <w:rPr>
                <w:rFonts w:ascii="Arial" w:hAnsi="Arial" w:cs="Arial"/>
                <w:b/>
                <w:sz w:val="20"/>
                <w:szCs w:val="20"/>
              </w:rPr>
              <w:t>R. Stone, Textbook on Civil Liberties and Human Rights (6th edition, Oxford University Press, Oxford: 2006)</w:t>
            </w:r>
          </w:p>
        </w:tc>
        <w:tc>
          <w:tcPr>
            <w:tcW w:w="2602" w:type="dxa"/>
          </w:tcPr>
          <w:p w14:paraId="46463079" w14:textId="77777777" w:rsidR="0063028B" w:rsidRPr="0063028B" w:rsidRDefault="007669CC" w:rsidP="00456D5A">
            <w:pPr>
              <w:jc w:val="center"/>
              <w:rPr>
                <w:rFonts w:ascii="Arial" w:hAnsi="Arial" w:cs="Arial"/>
                <w:sz w:val="20"/>
                <w:szCs w:val="20"/>
              </w:rPr>
            </w:pPr>
            <w:r>
              <w:rPr>
                <w:rFonts w:ascii="Arial" w:hAnsi="Arial" w:cs="Arial"/>
                <w:sz w:val="20"/>
                <w:szCs w:val="20"/>
              </w:rPr>
              <w:t>The textbook is not extremely relevant to the topic. However, it discusses matters which relate to stop and search powers such as human and civil rights along with police powers.</w:t>
            </w:r>
          </w:p>
        </w:tc>
        <w:tc>
          <w:tcPr>
            <w:tcW w:w="2543" w:type="dxa"/>
          </w:tcPr>
          <w:p w14:paraId="0DBE7D8F" w14:textId="77777777" w:rsidR="0063028B" w:rsidRPr="0063028B" w:rsidRDefault="007669CC" w:rsidP="007669CC">
            <w:pPr>
              <w:jc w:val="center"/>
              <w:rPr>
                <w:rFonts w:ascii="Arial" w:hAnsi="Arial" w:cs="Arial"/>
                <w:sz w:val="20"/>
                <w:szCs w:val="20"/>
              </w:rPr>
            </w:pPr>
            <w:r>
              <w:rPr>
                <w:rFonts w:ascii="Arial" w:hAnsi="Arial" w:cs="Arial"/>
                <w:sz w:val="20"/>
                <w:szCs w:val="20"/>
              </w:rPr>
              <w:t xml:space="preserve">The textbook is quite reliable as it uses a wide range of persuasive sources. However, it is out of date with regard to some issue since there are some more recent editions. </w:t>
            </w:r>
          </w:p>
        </w:tc>
        <w:tc>
          <w:tcPr>
            <w:tcW w:w="2500" w:type="dxa"/>
          </w:tcPr>
          <w:p w14:paraId="5FE38421" w14:textId="77777777" w:rsidR="0063028B" w:rsidRPr="0063028B" w:rsidRDefault="007669CC" w:rsidP="00456D5A">
            <w:pPr>
              <w:jc w:val="center"/>
              <w:rPr>
                <w:rFonts w:ascii="Arial" w:hAnsi="Arial" w:cs="Arial"/>
                <w:sz w:val="20"/>
                <w:szCs w:val="20"/>
              </w:rPr>
            </w:pPr>
            <w:r>
              <w:rPr>
                <w:rFonts w:ascii="Arial" w:hAnsi="Arial" w:cs="Arial"/>
                <w:sz w:val="20"/>
                <w:szCs w:val="20"/>
              </w:rPr>
              <w:t xml:space="preserve">The author is a </w:t>
            </w:r>
            <w:r w:rsidR="00AC3EA1">
              <w:rPr>
                <w:rFonts w:ascii="Arial" w:hAnsi="Arial" w:cs="Arial"/>
                <w:sz w:val="20"/>
                <w:szCs w:val="20"/>
              </w:rPr>
              <w:t>leading expert in human rights a</w:t>
            </w:r>
            <w:r>
              <w:rPr>
                <w:rFonts w:ascii="Arial" w:hAnsi="Arial" w:cs="Arial"/>
                <w:sz w:val="20"/>
                <w:szCs w:val="20"/>
              </w:rPr>
              <w:t xml:space="preserve">nd has published several textbooks. </w:t>
            </w:r>
          </w:p>
        </w:tc>
      </w:tr>
    </w:tbl>
    <w:p w14:paraId="55E6F6A4" w14:textId="77777777" w:rsidR="0063028B" w:rsidRDefault="0063028B" w:rsidP="009E74AF">
      <w:pPr>
        <w:ind w:left="1417"/>
        <w:rPr>
          <w:rFonts w:ascii="Arial" w:hAnsi="Arial" w:cs="Arial"/>
          <w:sz w:val="20"/>
          <w:szCs w:val="20"/>
        </w:rPr>
      </w:pPr>
    </w:p>
    <w:tbl>
      <w:tblPr>
        <w:tblStyle w:val="GridTableLight"/>
        <w:tblW w:w="0" w:type="auto"/>
        <w:tblLook w:val="04A0" w:firstRow="1" w:lastRow="0" w:firstColumn="1" w:lastColumn="0" w:noHBand="0" w:noVBand="1"/>
      </w:tblPr>
      <w:tblGrid>
        <w:gridCol w:w="2407"/>
        <w:gridCol w:w="2407"/>
        <w:gridCol w:w="2407"/>
        <w:gridCol w:w="2407"/>
      </w:tblGrid>
      <w:tr w:rsidR="00D9709D" w14:paraId="0D5A63F6" w14:textId="77777777" w:rsidTr="00D9709D">
        <w:tc>
          <w:tcPr>
            <w:tcW w:w="2407" w:type="dxa"/>
          </w:tcPr>
          <w:p w14:paraId="1890C6B3" w14:textId="77777777" w:rsidR="00D9709D" w:rsidRDefault="00D9709D" w:rsidP="00D9709D">
            <w:pPr>
              <w:jc w:val="center"/>
              <w:rPr>
                <w:rFonts w:ascii="Arial" w:hAnsi="Arial" w:cs="Arial"/>
                <w:sz w:val="32"/>
                <w:szCs w:val="32"/>
              </w:rPr>
            </w:pPr>
            <w:r>
              <w:rPr>
                <w:rFonts w:ascii="Arial" w:hAnsi="Arial" w:cs="Arial"/>
                <w:sz w:val="32"/>
                <w:szCs w:val="32"/>
              </w:rPr>
              <w:t>Government Publications</w:t>
            </w:r>
          </w:p>
          <w:p w14:paraId="052381B2" w14:textId="77777777" w:rsidR="00D9709D" w:rsidRPr="00D9709D" w:rsidRDefault="00D9709D" w:rsidP="00D9709D">
            <w:pPr>
              <w:jc w:val="center"/>
              <w:rPr>
                <w:rFonts w:ascii="Arial" w:hAnsi="Arial" w:cs="Arial"/>
                <w:b/>
                <w:sz w:val="24"/>
                <w:szCs w:val="24"/>
              </w:rPr>
            </w:pPr>
            <w:r w:rsidRPr="00D9709D">
              <w:rPr>
                <w:rFonts w:ascii="Arial" w:hAnsi="Arial" w:cs="Arial"/>
                <w:b/>
                <w:sz w:val="24"/>
                <w:szCs w:val="24"/>
              </w:rPr>
              <w:t>(secondary sources)</w:t>
            </w:r>
          </w:p>
        </w:tc>
        <w:tc>
          <w:tcPr>
            <w:tcW w:w="2407" w:type="dxa"/>
          </w:tcPr>
          <w:p w14:paraId="3E3333C6" w14:textId="77777777" w:rsidR="00D9709D" w:rsidRPr="00D9709D" w:rsidRDefault="00D9709D" w:rsidP="00D9709D">
            <w:pPr>
              <w:jc w:val="center"/>
              <w:rPr>
                <w:rFonts w:ascii="Arial" w:hAnsi="Arial" w:cs="Arial"/>
                <w:sz w:val="32"/>
                <w:szCs w:val="32"/>
              </w:rPr>
            </w:pPr>
            <w:r>
              <w:rPr>
                <w:rFonts w:ascii="Arial" w:hAnsi="Arial" w:cs="Arial"/>
                <w:sz w:val="32"/>
                <w:szCs w:val="32"/>
              </w:rPr>
              <w:t>Relevance</w:t>
            </w:r>
          </w:p>
        </w:tc>
        <w:tc>
          <w:tcPr>
            <w:tcW w:w="2407" w:type="dxa"/>
          </w:tcPr>
          <w:p w14:paraId="4D560FEA" w14:textId="77777777" w:rsidR="00D9709D" w:rsidRPr="00D9709D" w:rsidRDefault="00D9709D" w:rsidP="00D9709D">
            <w:pPr>
              <w:jc w:val="center"/>
              <w:rPr>
                <w:rFonts w:ascii="Arial" w:hAnsi="Arial" w:cs="Arial"/>
                <w:sz w:val="32"/>
                <w:szCs w:val="32"/>
              </w:rPr>
            </w:pPr>
            <w:r>
              <w:rPr>
                <w:rFonts w:ascii="Arial" w:hAnsi="Arial" w:cs="Arial"/>
                <w:sz w:val="32"/>
                <w:szCs w:val="32"/>
              </w:rPr>
              <w:t>Reliability</w:t>
            </w:r>
          </w:p>
        </w:tc>
        <w:tc>
          <w:tcPr>
            <w:tcW w:w="2407" w:type="dxa"/>
          </w:tcPr>
          <w:p w14:paraId="79AD6DCE" w14:textId="77777777" w:rsidR="00D9709D" w:rsidRPr="00D9709D" w:rsidRDefault="00D9709D" w:rsidP="00D9709D">
            <w:pPr>
              <w:jc w:val="center"/>
              <w:rPr>
                <w:rFonts w:ascii="Arial" w:hAnsi="Arial" w:cs="Arial"/>
                <w:sz w:val="32"/>
                <w:szCs w:val="32"/>
              </w:rPr>
            </w:pPr>
            <w:r>
              <w:rPr>
                <w:rFonts w:ascii="Arial" w:hAnsi="Arial" w:cs="Arial"/>
                <w:sz w:val="32"/>
                <w:szCs w:val="32"/>
              </w:rPr>
              <w:t>Weight of Authority</w:t>
            </w:r>
          </w:p>
        </w:tc>
      </w:tr>
      <w:tr w:rsidR="00D9709D" w14:paraId="2D5664A0" w14:textId="77777777" w:rsidTr="00D9709D">
        <w:tc>
          <w:tcPr>
            <w:tcW w:w="2407" w:type="dxa"/>
          </w:tcPr>
          <w:p w14:paraId="5FB98C0A" w14:textId="77777777" w:rsidR="00D9709D" w:rsidRDefault="00D9709D" w:rsidP="009E74AF">
            <w:pPr>
              <w:rPr>
                <w:rFonts w:ascii="Arial" w:hAnsi="Arial" w:cs="Arial"/>
                <w:b/>
                <w:sz w:val="20"/>
                <w:szCs w:val="20"/>
              </w:rPr>
            </w:pPr>
            <w:r w:rsidRPr="00D9709D">
              <w:rPr>
                <w:rFonts w:ascii="Arial" w:hAnsi="Arial" w:cs="Arial"/>
                <w:b/>
                <w:sz w:val="20"/>
                <w:szCs w:val="20"/>
              </w:rPr>
              <w:t>N Bland, J Miller, P Quinton (2000) Upping the PACE? An Evaluation of the Stephen Lawrence Inquiry on Stops and Searches Police Research Series Paper No. 128. London: Home Office</w:t>
            </w:r>
          </w:p>
          <w:p w14:paraId="6C3E33E5" w14:textId="77777777" w:rsidR="00814402" w:rsidRPr="00D9709D" w:rsidRDefault="00814402" w:rsidP="009E74AF">
            <w:pPr>
              <w:rPr>
                <w:rFonts w:ascii="Arial" w:hAnsi="Arial" w:cs="Arial"/>
                <w:b/>
                <w:sz w:val="20"/>
                <w:szCs w:val="20"/>
              </w:rPr>
            </w:pPr>
            <w:r>
              <w:rPr>
                <w:rFonts w:ascii="Arial" w:hAnsi="Arial" w:cs="Arial"/>
                <w:b/>
                <w:sz w:val="20"/>
                <w:szCs w:val="20"/>
              </w:rPr>
              <w:t>(available online)</w:t>
            </w:r>
          </w:p>
        </w:tc>
        <w:tc>
          <w:tcPr>
            <w:tcW w:w="2407" w:type="dxa"/>
          </w:tcPr>
          <w:p w14:paraId="2959D759" w14:textId="77777777" w:rsidR="00D9709D" w:rsidRDefault="00D9709D" w:rsidP="001872F6">
            <w:pPr>
              <w:rPr>
                <w:rFonts w:ascii="Arial" w:hAnsi="Arial" w:cs="Arial"/>
                <w:sz w:val="20"/>
                <w:szCs w:val="20"/>
              </w:rPr>
            </w:pPr>
            <w:r>
              <w:rPr>
                <w:rFonts w:ascii="Arial" w:hAnsi="Arial" w:cs="Arial"/>
                <w:sz w:val="20"/>
                <w:szCs w:val="20"/>
              </w:rPr>
              <w:t xml:space="preserve">This paper </w:t>
            </w:r>
            <w:r w:rsidR="001872F6">
              <w:rPr>
                <w:rFonts w:ascii="Arial" w:hAnsi="Arial" w:cs="Arial"/>
                <w:sz w:val="20"/>
                <w:szCs w:val="20"/>
              </w:rPr>
              <w:t xml:space="preserve">is </w:t>
            </w:r>
            <w:r>
              <w:rPr>
                <w:rFonts w:ascii="Arial" w:hAnsi="Arial" w:cs="Arial"/>
                <w:sz w:val="20"/>
                <w:szCs w:val="20"/>
              </w:rPr>
              <w:t xml:space="preserve">extremely relevant since </w:t>
            </w:r>
            <w:r w:rsidR="00D15D66">
              <w:rPr>
                <w:rFonts w:ascii="Arial" w:hAnsi="Arial" w:cs="Arial"/>
                <w:sz w:val="20"/>
                <w:szCs w:val="20"/>
              </w:rPr>
              <w:t xml:space="preserve">it </w:t>
            </w:r>
            <w:r w:rsidR="001872F6">
              <w:rPr>
                <w:rFonts w:ascii="Arial" w:hAnsi="Arial" w:cs="Arial"/>
                <w:sz w:val="20"/>
                <w:szCs w:val="20"/>
              </w:rPr>
              <w:t>illustrates</w:t>
            </w:r>
            <w:r w:rsidR="00D15D66">
              <w:rPr>
                <w:rFonts w:ascii="Arial" w:hAnsi="Arial" w:cs="Arial"/>
                <w:sz w:val="20"/>
                <w:szCs w:val="20"/>
              </w:rPr>
              <w:t xml:space="preserve"> the research </w:t>
            </w:r>
            <w:r w:rsidR="0006095C">
              <w:rPr>
                <w:rFonts w:ascii="Arial" w:hAnsi="Arial" w:cs="Arial"/>
                <w:sz w:val="20"/>
                <w:szCs w:val="20"/>
              </w:rPr>
              <w:t xml:space="preserve">that </w:t>
            </w:r>
            <w:r w:rsidR="00D15D66">
              <w:rPr>
                <w:rFonts w:ascii="Arial" w:hAnsi="Arial" w:cs="Arial"/>
                <w:sz w:val="20"/>
                <w:szCs w:val="20"/>
              </w:rPr>
              <w:t>the government conducted in order to understand the citizens’ view and to try and improve stop and search powers.</w:t>
            </w:r>
          </w:p>
        </w:tc>
        <w:tc>
          <w:tcPr>
            <w:tcW w:w="2407" w:type="dxa"/>
          </w:tcPr>
          <w:p w14:paraId="76A72E3F" w14:textId="77777777" w:rsidR="00D9709D" w:rsidRDefault="00D15D66" w:rsidP="00A523AE">
            <w:pPr>
              <w:rPr>
                <w:rFonts w:ascii="Arial" w:hAnsi="Arial" w:cs="Arial"/>
                <w:sz w:val="20"/>
                <w:szCs w:val="20"/>
              </w:rPr>
            </w:pPr>
            <w:r>
              <w:rPr>
                <w:rFonts w:ascii="Arial" w:hAnsi="Arial" w:cs="Arial"/>
                <w:sz w:val="20"/>
                <w:szCs w:val="20"/>
              </w:rPr>
              <w:t xml:space="preserve">Overall, the paper seems to present balanced views, focusing both on criticisms and positive aspects. However, it is a governmental publication and information might be slightly biased, even though some of the </w:t>
            </w:r>
            <w:r w:rsidR="0006095C">
              <w:rPr>
                <w:rFonts w:ascii="Arial" w:hAnsi="Arial" w:cs="Arial"/>
                <w:sz w:val="20"/>
                <w:szCs w:val="20"/>
              </w:rPr>
              <w:t xml:space="preserve">sources </w:t>
            </w:r>
            <w:r w:rsidR="00445517">
              <w:rPr>
                <w:rFonts w:ascii="Arial" w:hAnsi="Arial" w:cs="Arial"/>
                <w:sz w:val="20"/>
                <w:szCs w:val="20"/>
              </w:rPr>
              <w:t xml:space="preserve">that </w:t>
            </w:r>
            <w:r w:rsidR="0006095C">
              <w:rPr>
                <w:rFonts w:ascii="Arial" w:hAnsi="Arial" w:cs="Arial"/>
                <w:sz w:val="20"/>
                <w:szCs w:val="20"/>
              </w:rPr>
              <w:t>the paper</w:t>
            </w:r>
            <w:r>
              <w:rPr>
                <w:rFonts w:ascii="Arial" w:hAnsi="Arial" w:cs="Arial"/>
                <w:sz w:val="20"/>
                <w:szCs w:val="20"/>
              </w:rPr>
              <w:t xml:space="preserve"> draws upon are </w:t>
            </w:r>
            <w:r w:rsidR="00A523AE">
              <w:rPr>
                <w:rFonts w:ascii="Arial" w:hAnsi="Arial" w:cs="Arial"/>
                <w:sz w:val="20"/>
                <w:szCs w:val="20"/>
              </w:rPr>
              <w:t>non-governmental.</w:t>
            </w:r>
            <w:r>
              <w:rPr>
                <w:rFonts w:ascii="Arial" w:hAnsi="Arial" w:cs="Arial"/>
                <w:sz w:val="20"/>
                <w:szCs w:val="20"/>
              </w:rPr>
              <w:t xml:space="preserve"> Yet, the publication is almost fifteen years old. </w:t>
            </w:r>
          </w:p>
        </w:tc>
        <w:tc>
          <w:tcPr>
            <w:tcW w:w="2407" w:type="dxa"/>
          </w:tcPr>
          <w:p w14:paraId="06A61A94" w14:textId="77777777" w:rsidR="00D9709D" w:rsidRDefault="00D15D66" w:rsidP="009E74AF">
            <w:pPr>
              <w:rPr>
                <w:rFonts w:ascii="Arial" w:hAnsi="Arial" w:cs="Arial"/>
                <w:sz w:val="20"/>
                <w:szCs w:val="20"/>
              </w:rPr>
            </w:pPr>
            <w:r>
              <w:rPr>
                <w:rFonts w:ascii="Arial" w:hAnsi="Arial" w:cs="Arial"/>
                <w:sz w:val="20"/>
                <w:szCs w:val="20"/>
              </w:rPr>
              <w:t xml:space="preserve">The authors belong to the Policing and Reducing Crime Unit. They have published quite few articles together. The scope of the paper was to describe the </w:t>
            </w:r>
            <w:r w:rsidR="006937BB">
              <w:rPr>
                <w:rFonts w:ascii="Arial" w:hAnsi="Arial" w:cs="Arial"/>
                <w:sz w:val="20"/>
                <w:szCs w:val="20"/>
              </w:rPr>
              <w:t xml:space="preserve">research and evaluate its result. The fact that many academics have cited this paper suggests that it is unbiased and authoritative. </w:t>
            </w:r>
          </w:p>
        </w:tc>
      </w:tr>
      <w:tr w:rsidR="00D9709D" w14:paraId="2A392FB3" w14:textId="77777777" w:rsidTr="00D9709D">
        <w:tc>
          <w:tcPr>
            <w:tcW w:w="2407" w:type="dxa"/>
          </w:tcPr>
          <w:p w14:paraId="665F2531" w14:textId="77777777" w:rsidR="00D9709D" w:rsidRPr="00D9709D" w:rsidRDefault="00D9709D" w:rsidP="009E74AF">
            <w:pPr>
              <w:rPr>
                <w:rFonts w:ascii="Arial" w:hAnsi="Arial" w:cs="Arial"/>
                <w:b/>
                <w:sz w:val="20"/>
                <w:szCs w:val="20"/>
              </w:rPr>
            </w:pPr>
            <w:r w:rsidRPr="00D9709D">
              <w:rPr>
                <w:rFonts w:ascii="Arial" w:hAnsi="Arial" w:cs="Arial"/>
                <w:b/>
                <w:sz w:val="20"/>
                <w:szCs w:val="20"/>
              </w:rPr>
              <w:t>Fitzgerald, M. (1999) Final Report into Stop and Search. Lond</w:t>
            </w:r>
            <w:r w:rsidR="00814402">
              <w:rPr>
                <w:rFonts w:ascii="Arial" w:hAnsi="Arial" w:cs="Arial"/>
                <w:b/>
                <w:sz w:val="20"/>
                <w:szCs w:val="20"/>
              </w:rPr>
              <w:t>on: Metropolitan Police Service (available online)</w:t>
            </w:r>
          </w:p>
        </w:tc>
        <w:tc>
          <w:tcPr>
            <w:tcW w:w="2407" w:type="dxa"/>
          </w:tcPr>
          <w:p w14:paraId="6B22A52F" w14:textId="77777777" w:rsidR="00D9709D" w:rsidRDefault="006937BB" w:rsidP="001872F6">
            <w:pPr>
              <w:rPr>
                <w:rFonts w:ascii="Arial" w:hAnsi="Arial" w:cs="Arial"/>
                <w:sz w:val="20"/>
                <w:szCs w:val="20"/>
              </w:rPr>
            </w:pPr>
            <w:r>
              <w:rPr>
                <w:rFonts w:ascii="Arial" w:hAnsi="Arial" w:cs="Arial"/>
                <w:sz w:val="20"/>
                <w:szCs w:val="20"/>
              </w:rPr>
              <w:t xml:space="preserve">This paper </w:t>
            </w:r>
            <w:r w:rsidR="001872F6">
              <w:rPr>
                <w:rFonts w:ascii="Arial" w:hAnsi="Arial" w:cs="Arial"/>
                <w:sz w:val="20"/>
                <w:szCs w:val="20"/>
              </w:rPr>
              <w:t xml:space="preserve">is </w:t>
            </w:r>
            <w:r>
              <w:rPr>
                <w:rFonts w:ascii="Arial" w:hAnsi="Arial" w:cs="Arial"/>
                <w:sz w:val="20"/>
                <w:szCs w:val="20"/>
              </w:rPr>
              <w:t>extreme</w:t>
            </w:r>
            <w:r w:rsidR="001872F6">
              <w:rPr>
                <w:rFonts w:ascii="Arial" w:hAnsi="Arial" w:cs="Arial"/>
                <w:sz w:val="20"/>
                <w:szCs w:val="20"/>
              </w:rPr>
              <w:t>ly relevant since it illustrates</w:t>
            </w:r>
            <w:r>
              <w:rPr>
                <w:rFonts w:ascii="Arial" w:hAnsi="Arial" w:cs="Arial"/>
                <w:sz w:val="20"/>
                <w:szCs w:val="20"/>
              </w:rPr>
              <w:t xml:space="preserve"> the citizens’ view concerning positive and negative aspects of stop and search powers.</w:t>
            </w:r>
          </w:p>
        </w:tc>
        <w:tc>
          <w:tcPr>
            <w:tcW w:w="2407" w:type="dxa"/>
          </w:tcPr>
          <w:p w14:paraId="2B27FADB" w14:textId="77777777" w:rsidR="00D9709D" w:rsidRDefault="006937BB" w:rsidP="006E40C4">
            <w:pPr>
              <w:rPr>
                <w:rFonts w:ascii="Arial" w:hAnsi="Arial" w:cs="Arial"/>
                <w:sz w:val="20"/>
                <w:szCs w:val="20"/>
              </w:rPr>
            </w:pPr>
            <w:r>
              <w:rPr>
                <w:rFonts w:ascii="Arial" w:hAnsi="Arial" w:cs="Arial"/>
                <w:sz w:val="20"/>
                <w:szCs w:val="20"/>
              </w:rPr>
              <w:t>Once again, the paper seems to present balanced opinions and</w:t>
            </w:r>
            <w:r w:rsidR="006E40C4">
              <w:rPr>
                <w:rFonts w:ascii="Arial" w:hAnsi="Arial" w:cs="Arial"/>
                <w:sz w:val="20"/>
                <w:szCs w:val="20"/>
              </w:rPr>
              <w:t xml:space="preserve"> is </w:t>
            </w:r>
            <w:r>
              <w:rPr>
                <w:rFonts w:ascii="Arial" w:hAnsi="Arial" w:cs="Arial"/>
                <w:sz w:val="20"/>
                <w:szCs w:val="20"/>
              </w:rPr>
              <w:t>a bit out of date.</w:t>
            </w:r>
          </w:p>
        </w:tc>
        <w:tc>
          <w:tcPr>
            <w:tcW w:w="2407" w:type="dxa"/>
          </w:tcPr>
          <w:p w14:paraId="37CF63EC" w14:textId="77777777" w:rsidR="00D9709D" w:rsidRDefault="006937BB" w:rsidP="009E74AF">
            <w:pPr>
              <w:rPr>
                <w:rFonts w:ascii="Arial" w:hAnsi="Arial" w:cs="Arial"/>
                <w:sz w:val="20"/>
                <w:szCs w:val="20"/>
              </w:rPr>
            </w:pPr>
            <w:r>
              <w:rPr>
                <w:rFonts w:ascii="Arial" w:hAnsi="Arial" w:cs="Arial"/>
                <w:sz w:val="20"/>
                <w:szCs w:val="20"/>
              </w:rPr>
              <w:t xml:space="preserve">The author has conducted many survey amongst the populace and published many papers. In addition, many academics have cited her work. </w:t>
            </w:r>
          </w:p>
        </w:tc>
      </w:tr>
      <w:tr w:rsidR="00D9709D" w14:paraId="2B67F2B1" w14:textId="77777777" w:rsidTr="00D9709D">
        <w:tc>
          <w:tcPr>
            <w:tcW w:w="2407" w:type="dxa"/>
          </w:tcPr>
          <w:p w14:paraId="6EE7AD22" w14:textId="77777777" w:rsidR="00D9709D" w:rsidRPr="00D9709D" w:rsidRDefault="00D9709D" w:rsidP="009E74AF">
            <w:pPr>
              <w:rPr>
                <w:rFonts w:ascii="Arial" w:hAnsi="Arial" w:cs="Arial"/>
                <w:b/>
                <w:sz w:val="20"/>
                <w:szCs w:val="20"/>
              </w:rPr>
            </w:pPr>
            <w:r w:rsidRPr="00D9709D">
              <w:rPr>
                <w:rFonts w:ascii="Arial" w:hAnsi="Arial" w:cs="Arial"/>
                <w:b/>
                <w:sz w:val="20"/>
                <w:szCs w:val="20"/>
              </w:rPr>
              <w:t>Home Office, Code of Practice for the Exercise by Police Officers of Statutory Powers of Stop and Search, Code A (London: Home Office, 2005)</w:t>
            </w:r>
            <w:r w:rsidR="00814402">
              <w:rPr>
                <w:rFonts w:ascii="Arial" w:hAnsi="Arial" w:cs="Arial"/>
                <w:b/>
                <w:sz w:val="20"/>
                <w:szCs w:val="20"/>
              </w:rPr>
              <w:t xml:space="preserve"> (available online)</w:t>
            </w:r>
          </w:p>
        </w:tc>
        <w:tc>
          <w:tcPr>
            <w:tcW w:w="2407" w:type="dxa"/>
          </w:tcPr>
          <w:p w14:paraId="48E9D9A7" w14:textId="77777777" w:rsidR="00D9709D" w:rsidRDefault="00814402" w:rsidP="00814402">
            <w:pPr>
              <w:rPr>
                <w:rFonts w:ascii="Arial" w:hAnsi="Arial" w:cs="Arial"/>
                <w:sz w:val="20"/>
                <w:szCs w:val="20"/>
              </w:rPr>
            </w:pPr>
            <w:r>
              <w:rPr>
                <w:rFonts w:ascii="Arial" w:hAnsi="Arial" w:cs="Arial"/>
                <w:sz w:val="20"/>
                <w:szCs w:val="20"/>
              </w:rPr>
              <w:t>This publication is extremely relevant to stop and search powers in that it outlines how officers should behave when carrying out these operations.</w:t>
            </w:r>
          </w:p>
        </w:tc>
        <w:tc>
          <w:tcPr>
            <w:tcW w:w="2407" w:type="dxa"/>
          </w:tcPr>
          <w:p w14:paraId="4E4FAF83" w14:textId="77777777" w:rsidR="00D9709D" w:rsidRDefault="00B9289E" w:rsidP="00B9289E">
            <w:pPr>
              <w:rPr>
                <w:rFonts w:ascii="Arial" w:hAnsi="Arial" w:cs="Arial"/>
                <w:sz w:val="20"/>
                <w:szCs w:val="20"/>
              </w:rPr>
            </w:pPr>
            <w:r>
              <w:rPr>
                <w:rFonts w:ascii="Arial" w:hAnsi="Arial" w:cs="Arial"/>
                <w:sz w:val="20"/>
                <w:szCs w:val="20"/>
              </w:rPr>
              <w:t>Codes of practice</w:t>
            </w:r>
            <w:r w:rsidR="00814402">
              <w:rPr>
                <w:rFonts w:ascii="Arial" w:hAnsi="Arial" w:cs="Arial"/>
                <w:sz w:val="20"/>
                <w:szCs w:val="20"/>
              </w:rPr>
              <w:t xml:space="preserve"> are quite reliable, though it can be argued that they do some injustice. In fact, they do not </w:t>
            </w:r>
            <w:r>
              <w:rPr>
                <w:rFonts w:ascii="Arial" w:hAnsi="Arial" w:cs="Arial"/>
                <w:sz w:val="20"/>
                <w:szCs w:val="20"/>
              </w:rPr>
              <w:t>specify</w:t>
            </w:r>
            <w:r w:rsidR="00814402">
              <w:rPr>
                <w:rFonts w:ascii="Arial" w:hAnsi="Arial" w:cs="Arial"/>
                <w:sz w:val="20"/>
                <w:szCs w:val="20"/>
              </w:rPr>
              <w:t xml:space="preserve"> how officers who misbehave are to be punished. </w:t>
            </w:r>
          </w:p>
        </w:tc>
        <w:tc>
          <w:tcPr>
            <w:tcW w:w="2407" w:type="dxa"/>
          </w:tcPr>
          <w:p w14:paraId="620D183E" w14:textId="77777777" w:rsidR="00D9709D" w:rsidRDefault="00633239" w:rsidP="00633239">
            <w:pPr>
              <w:rPr>
                <w:rFonts w:ascii="Arial" w:hAnsi="Arial" w:cs="Arial"/>
                <w:sz w:val="20"/>
                <w:szCs w:val="20"/>
              </w:rPr>
            </w:pPr>
            <w:r>
              <w:rPr>
                <w:rFonts w:ascii="Arial" w:hAnsi="Arial" w:cs="Arial"/>
                <w:sz w:val="20"/>
                <w:szCs w:val="20"/>
              </w:rPr>
              <w:t xml:space="preserve">Codes of practice </w:t>
            </w:r>
            <w:r w:rsidR="005F63E6">
              <w:rPr>
                <w:rFonts w:ascii="Arial" w:hAnsi="Arial" w:cs="Arial"/>
                <w:sz w:val="20"/>
                <w:szCs w:val="20"/>
              </w:rPr>
              <w:t>are extremely authoritative, although some were modified due to the enactment of the PoFA 2012 and others are likely to be changed very soon, according to Theresa May (30 April 2014).</w:t>
            </w:r>
          </w:p>
        </w:tc>
      </w:tr>
      <w:tr w:rsidR="00D9709D" w14:paraId="7D972538" w14:textId="77777777" w:rsidTr="00D9709D">
        <w:tc>
          <w:tcPr>
            <w:tcW w:w="2407" w:type="dxa"/>
          </w:tcPr>
          <w:p w14:paraId="4DD646EB" w14:textId="77777777" w:rsidR="00D9709D" w:rsidRPr="00D9709D" w:rsidRDefault="00D9709D" w:rsidP="009E74AF">
            <w:pPr>
              <w:rPr>
                <w:rFonts w:ascii="Arial" w:hAnsi="Arial" w:cs="Arial"/>
                <w:b/>
                <w:sz w:val="20"/>
                <w:szCs w:val="20"/>
              </w:rPr>
            </w:pPr>
            <w:r w:rsidRPr="00D9709D">
              <w:rPr>
                <w:rFonts w:ascii="Arial" w:hAnsi="Arial" w:cs="Arial"/>
                <w:b/>
                <w:sz w:val="20"/>
                <w:szCs w:val="20"/>
              </w:rPr>
              <w:t>Home Office, Statistics on Race and the Criminal Justice System - 2004 (2005), 35</w:t>
            </w:r>
            <w:r w:rsidR="00814402">
              <w:rPr>
                <w:rFonts w:ascii="Arial" w:hAnsi="Arial" w:cs="Arial"/>
                <w:b/>
                <w:sz w:val="20"/>
                <w:szCs w:val="20"/>
              </w:rPr>
              <w:t xml:space="preserve"> (available online)</w:t>
            </w:r>
          </w:p>
        </w:tc>
        <w:tc>
          <w:tcPr>
            <w:tcW w:w="2407" w:type="dxa"/>
          </w:tcPr>
          <w:p w14:paraId="306B7E50" w14:textId="77777777" w:rsidR="00D9709D" w:rsidRDefault="00B608F8" w:rsidP="00251D47">
            <w:pPr>
              <w:rPr>
                <w:rFonts w:ascii="Arial" w:hAnsi="Arial" w:cs="Arial"/>
                <w:sz w:val="20"/>
                <w:szCs w:val="20"/>
              </w:rPr>
            </w:pPr>
            <w:r>
              <w:rPr>
                <w:rFonts w:ascii="Arial" w:hAnsi="Arial" w:cs="Arial"/>
                <w:sz w:val="20"/>
                <w:szCs w:val="20"/>
              </w:rPr>
              <w:t xml:space="preserve">This publication is relevant to stop and search powers since it provides figures concerning the effectiveness of the aforementioned measures.  </w:t>
            </w:r>
            <w:r w:rsidR="00251D47">
              <w:rPr>
                <w:rFonts w:ascii="Arial" w:hAnsi="Arial" w:cs="Arial"/>
                <w:sz w:val="20"/>
                <w:szCs w:val="20"/>
              </w:rPr>
              <w:t>The fact that in 2004 those who were accused of terrorism were all white is a strong argument against discrimination.</w:t>
            </w:r>
          </w:p>
        </w:tc>
        <w:tc>
          <w:tcPr>
            <w:tcW w:w="2407" w:type="dxa"/>
          </w:tcPr>
          <w:p w14:paraId="26D98DD8" w14:textId="77777777" w:rsidR="00D9709D" w:rsidRDefault="00B608F8" w:rsidP="00251D47">
            <w:pPr>
              <w:rPr>
                <w:rFonts w:ascii="Arial" w:hAnsi="Arial" w:cs="Arial"/>
                <w:sz w:val="20"/>
                <w:szCs w:val="20"/>
              </w:rPr>
            </w:pPr>
            <w:r>
              <w:rPr>
                <w:rFonts w:ascii="Arial" w:hAnsi="Arial" w:cs="Arial"/>
                <w:sz w:val="20"/>
                <w:szCs w:val="20"/>
              </w:rPr>
              <w:t xml:space="preserve">They should be quite reliable since other academics </w:t>
            </w:r>
            <w:r w:rsidR="00251D47">
              <w:rPr>
                <w:rFonts w:ascii="Arial" w:hAnsi="Arial" w:cs="Arial"/>
                <w:sz w:val="20"/>
                <w:szCs w:val="20"/>
              </w:rPr>
              <w:t>draw upo</w:t>
            </w:r>
            <w:r>
              <w:rPr>
                <w:rFonts w:ascii="Arial" w:hAnsi="Arial" w:cs="Arial"/>
                <w:sz w:val="20"/>
                <w:szCs w:val="20"/>
              </w:rPr>
              <w:t xml:space="preserve">n them. </w:t>
            </w:r>
          </w:p>
        </w:tc>
        <w:tc>
          <w:tcPr>
            <w:tcW w:w="2407" w:type="dxa"/>
          </w:tcPr>
          <w:p w14:paraId="03235597" w14:textId="77777777" w:rsidR="00D9709D" w:rsidRDefault="00B608F8" w:rsidP="00ED6E90">
            <w:pPr>
              <w:rPr>
                <w:rFonts w:ascii="Arial" w:hAnsi="Arial" w:cs="Arial"/>
                <w:sz w:val="20"/>
                <w:szCs w:val="20"/>
              </w:rPr>
            </w:pPr>
            <w:r>
              <w:rPr>
                <w:rFonts w:ascii="Arial" w:hAnsi="Arial" w:cs="Arial"/>
                <w:sz w:val="20"/>
                <w:szCs w:val="20"/>
              </w:rPr>
              <w:t>These publications are extremely authoritative as they illustrate official figures.</w:t>
            </w:r>
            <w:r w:rsidR="00E83AC5">
              <w:rPr>
                <w:rFonts w:ascii="Arial" w:hAnsi="Arial" w:cs="Arial"/>
                <w:sz w:val="20"/>
                <w:szCs w:val="20"/>
              </w:rPr>
              <w:t xml:space="preserve"> </w:t>
            </w:r>
          </w:p>
        </w:tc>
      </w:tr>
      <w:tr w:rsidR="00D9709D" w14:paraId="28EABE10" w14:textId="77777777" w:rsidTr="00D9709D">
        <w:tc>
          <w:tcPr>
            <w:tcW w:w="2407" w:type="dxa"/>
          </w:tcPr>
          <w:p w14:paraId="2A7BCB5C" w14:textId="77777777" w:rsidR="00D9709D" w:rsidRPr="00D9709D" w:rsidRDefault="00D9709D" w:rsidP="009E74AF">
            <w:pPr>
              <w:rPr>
                <w:rFonts w:ascii="Arial" w:hAnsi="Arial" w:cs="Arial"/>
                <w:b/>
                <w:sz w:val="20"/>
                <w:szCs w:val="20"/>
              </w:rPr>
            </w:pPr>
            <w:r w:rsidRPr="00D9709D">
              <w:rPr>
                <w:rFonts w:ascii="Arial" w:hAnsi="Arial" w:cs="Arial"/>
                <w:b/>
                <w:sz w:val="20"/>
                <w:szCs w:val="20"/>
              </w:rPr>
              <w:t>House of Commons Home Affairs Committee, Fourth Report of Session 2005-06: Terrorism Detention Powers HC 910-1/54</w:t>
            </w:r>
            <w:r w:rsidR="00814402">
              <w:rPr>
                <w:rFonts w:ascii="Arial" w:hAnsi="Arial" w:cs="Arial"/>
                <w:b/>
                <w:sz w:val="20"/>
                <w:szCs w:val="20"/>
              </w:rPr>
              <w:t xml:space="preserve"> (available online)</w:t>
            </w:r>
          </w:p>
        </w:tc>
        <w:tc>
          <w:tcPr>
            <w:tcW w:w="2407" w:type="dxa"/>
          </w:tcPr>
          <w:p w14:paraId="6A35561F" w14:textId="77777777" w:rsidR="00D9709D" w:rsidRDefault="00456D5A" w:rsidP="00741646">
            <w:pPr>
              <w:rPr>
                <w:rFonts w:ascii="Arial" w:hAnsi="Arial" w:cs="Arial"/>
                <w:sz w:val="20"/>
                <w:szCs w:val="20"/>
              </w:rPr>
            </w:pPr>
            <w:r>
              <w:rPr>
                <w:rFonts w:ascii="Arial" w:hAnsi="Arial" w:cs="Arial"/>
                <w:sz w:val="20"/>
                <w:szCs w:val="20"/>
              </w:rPr>
              <w:t xml:space="preserve">This publication is extremely relevant as it illustrates how the government reacted to the London bombings. In addition, it shows that </w:t>
            </w:r>
            <w:r w:rsidR="00741646">
              <w:rPr>
                <w:rFonts w:ascii="Arial" w:hAnsi="Arial" w:cs="Arial"/>
                <w:sz w:val="20"/>
                <w:szCs w:val="20"/>
              </w:rPr>
              <w:t>the executive has supported the adoption of preventive measures</w:t>
            </w:r>
            <w:r w:rsidR="00C75B14">
              <w:rPr>
                <w:rFonts w:ascii="Arial" w:hAnsi="Arial" w:cs="Arial"/>
                <w:sz w:val="20"/>
                <w:szCs w:val="20"/>
              </w:rPr>
              <w:t>.</w:t>
            </w:r>
          </w:p>
        </w:tc>
        <w:tc>
          <w:tcPr>
            <w:tcW w:w="2407" w:type="dxa"/>
          </w:tcPr>
          <w:p w14:paraId="1B35CAF7" w14:textId="77777777" w:rsidR="00D9709D" w:rsidRDefault="00C75B14" w:rsidP="00741646">
            <w:pPr>
              <w:rPr>
                <w:rFonts w:ascii="Arial" w:hAnsi="Arial" w:cs="Arial"/>
                <w:sz w:val="20"/>
                <w:szCs w:val="20"/>
              </w:rPr>
            </w:pPr>
            <w:r>
              <w:rPr>
                <w:rFonts w:ascii="Arial" w:hAnsi="Arial" w:cs="Arial"/>
                <w:sz w:val="20"/>
                <w:szCs w:val="20"/>
              </w:rPr>
              <w:t>This is extremely reliable because it presents the various MP’s speeches</w:t>
            </w:r>
            <w:r w:rsidR="00741646">
              <w:rPr>
                <w:rFonts w:ascii="Arial" w:hAnsi="Arial" w:cs="Arial"/>
                <w:sz w:val="20"/>
                <w:szCs w:val="20"/>
              </w:rPr>
              <w:t xml:space="preserve"> verbatim</w:t>
            </w:r>
            <w:r>
              <w:rPr>
                <w:rFonts w:ascii="Arial" w:hAnsi="Arial" w:cs="Arial"/>
                <w:sz w:val="20"/>
                <w:szCs w:val="20"/>
              </w:rPr>
              <w:t>.</w:t>
            </w:r>
          </w:p>
        </w:tc>
        <w:tc>
          <w:tcPr>
            <w:tcW w:w="2407" w:type="dxa"/>
          </w:tcPr>
          <w:p w14:paraId="79B82830" w14:textId="77777777" w:rsidR="00D9709D" w:rsidRDefault="00C75B14" w:rsidP="009E74AF">
            <w:pPr>
              <w:rPr>
                <w:rFonts w:ascii="Arial" w:hAnsi="Arial" w:cs="Arial"/>
                <w:sz w:val="20"/>
                <w:szCs w:val="20"/>
              </w:rPr>
            </w:pPr>
            <w:r>
              <w:rPr>
                <w:rFonts w:ascii="Arial" w:hAnsi="Arial" w:cs="Arial"/>
                <w:sz w:val="20"/>
                <w:szCs w:val="20"/>
              </w:rPr>
              <w:t xml:space="preserve">The speech was quite authoritative as it was delivered by </w:t>
            </w:r>
            <w:r w:rsidRPr="00C75B14">
              <w:rPr>
                <w:rFonts w:ascii="Arial" w:hAnsi="Arial" w:cs="Arial"/>
                <w:sz w:val="20"/>
                <w:szCs w:val="20"/>
              </w:rPr>
              <w:t>The Head of the Anti-Terrorist Branch of the Metropolitan Police</w:t>
            </w:r>
            <w:r>
              <w:rPr>
                <w:rFonts w:ascii="Arial" w:hAnsi="Arial" w:cs="Arial"/>
                <w:sz w:val="20"/>
                <w:szCs w:val="20"/>
              </w:rPr>
              <w:t>.</w:t>
            </w:r>
          </w:p>
        </w:tc>
      </w:tr>
      <w:tr w:rsidR="00D9709D" w14:paraId="2D495C0D" w14:textId="77777777" w:rsidTr="00D9709D">
        <w:tc>
          <w:tcPr>
            <w:tcW w:w="2407" w:type="dxa"/>
          </w:tcPr>
          <w:p w14:paraId="508A32C5" w14:textId="77777777" w:rsidR="00D9709D" w:rsidRPr="00D9709D" w:rsidRDefault="00D9709D" w:rsidP="009E74AF">
            <w:pPr>
              <w:rPr>
                <w:rFonts w:ascii="Arial" w:hAnsi="Arial" w:cs="Arial"/>
                <w:b/>
                <w:sz w:val="20"/>
                <w:szCs w:val="20"/>
              </w:rPr>
            </w:pPr>
            <w:r w:rsidRPr="00D9709D">
              <w:rPr>
                <w:rFonts w:ascii="Arial" w:hAnsi="Arial" w:cs="Arial"/>
                <w:b/>
                <w:sz w:val="20"/>
                <w:szCs w:val="20"/>
              </w:rPr>
              <w:t>House of Commons Deb, 10 May 2012, Column 9WS</w:t>
            </w:r>
            <w:r w:rsidR="00814402">
              <w:rPr>
                <w:rFonts w:ascii="Arial" w:hAnsi="Arial" w:cs="Arial"/>
                <w:b/>
                <w:sz w:val="20"/>
                <w:szCs w:val="20"/>
              </w:rPr>
              <w:t xml:space="preserve"> (available online) </w:t>
            </w:r>
          </w:p>
        </w:tc>
        <w:tc>
          <w:tcPr>
            <w:tcW w:w="2407" w:type="dxa"/>
          </w:tcPr>
          <w:p w14:paraId="60CA89EE" w14:textId="77777777" w:rsidR="00D9709D" w:rsidRDefault="003264EA" w:rsidP="009E74AF">
            <w:pPr>
              <w:rPr>
                <w:rFonts w:ascii="Arial" w:hAnsi="Arial" w:cs="Arial"/>
                <w:sz w:val="20"/>
                <w:szCs w:val="20"/>
              </w:rPr>
            </w:pPr>
            <w:r>
              <w:rPr>
                <w:rFonts w:ascii="Arial" w:hAnsi="Arial" w:cs="Arial"/>
                <w:sz w:val="20"/>
                <w:szCs w:val="20"/>
              </w:rPr>
              <w:t>Once again, this publication is extremely relevant since it tells us what was discussed in the House of Commons.</w:t>
            </w:r>
          </w:p>
        </w:tc>
        <w:tc>
          <w:tcPr>
            <w:tcW w:w="2407" w:type="dxa"/>
          </w:tcPr>
          <w:p w14:paraId="551A4B8C" w14:textId="77777777" w:rsidR="00D9709D" w:rsidRDefault="003264EA" w:rsidP="00BA7913">
            <w:pPr>
              <w:rPr>
                <w:rFonts w:ascii="Arial" w:hAnsi="Arial" w:cs="Arial"/>
                <w:sz w:val="20"/>
                <w:szCs w:val="20"/>
              </w:rPr>
            </w:pPr>
            <w:r>
              <w:rPr>
                <w:rFonts w:ascii="Arial" w:hAnsi="Arial" w:cs="Arial"/>
                <w:sz w:val="20"/>
                <w:szCs w:val="20"/>
              </w:rPr>
              <w:t>This is extremely reliable because it presents the various MP’s speeches</w:t>
            </w:r>
            <w:r w:rsidR="00BA7913">
              <w:rPr>
                <w:rFonts w:ascii="Arial" w:hAnsi="Arial" w:cs="Arial"/>
                <w:sz w:val="20"/>
                <w:szCs w:val="20"/>
              </w:rPr>
              <w:t xml:space="preserve"> verbatim</w:t>
            </w:r>
            <w:r>
              <w:rPr>
                <w:rFonts w:ascii="Arial" w:hAnsi="Arial" w:cs="Arial"/>
                <w:sz w:val="20"/>
                <w:szCs w:val="20"/>
              </w:rPr>
              <w:t>.</w:t>
            </w:r>
          </w:p>
        </w:tc>
        <w:tc>
          <w:tcPr>
            <w:tcW w:w="2407" w:type="dxa"/>
          </w:tcPr>
          <w:p w14:paraId="6CD11CC3" w14:textId="77777777" w:rsidR="00D9709D" w:rsidRDefault="003264EA" w:rsidP="003264EA">
            <w:pPr>
              <w:rPr>
                <w:rFonts w:ascii="Arial" w:hAnsi="Arial" w:cs="Arial"/>
                <w:sz w:val="20"/>
                <w:szCs w:val="20"/>
              </w:rPr>
            </w:pPr>
            <w:r w:rsidRPr="003264EA">
              <w:rPr>
                <w:rFonts w:ascii="Arial" w:hAnsi="Arial" w:cs="Arial"/>
                <w:sz w:val="20"/>
                <w:szCs w:val="20"/>
              </w:rPr>
              <w:t>The speech was quite authoritative as it was delivered by The Parliamentary Under-Secretary of State for the Home Department</w:t>
            </w:r>
            <w:r>
              <w:rPr>
                <w:rFonts w:ascii="Arial" w:hAnsi="Arial" w:cs="Arial"/>
                <w:sz w:val="20"/>
                <w:szCs w:val="20"/>
              </w:rPr>
              <w:t xml:space="preserve">. </w:t>
            </w:r>
          </w:p>
        </w:tc>
      </w:tr>
      <w:tr w:rsidR="00D9709D" w14:paraId="1C3DC270" w14:textId="77777777" w:rsidTr="00D9709D">
        <w:tc>
          <w:tcPr>
            <w:tcW w:w="2407" w:type="dxa"/>
          </w:tcPr>
          <w:p w14:paraId="725D3842" w14:textId="77777777" w:rsidR="00D9709D" w:rsidRPr="00D9709D" w:rsidRDefault="00D9709D" w:rsidP="009E74AF">
            <w:pPr>
              <w:rPr>
                <w:rFonts w:ascii="Arial" w:hAnsi="Arial" w:cs="Arial"/>
                <w:b/>
                <w:sz w:val="20"/>
                <w:szCs w:val="20"/>
              </w:rPr>
            </w:pPr>
            <w:r w:rsidRPr="00D9709D">
              <w:rPr>
                <w:rFonts w:ascii="Arial" w:hAnsi="Arial" w:cs="Arial"/>
                <w:b/>
                <w:sz w:val="20"/>
                <w:szCs w:val="20"/>
              </w:rPr>
              <w:t>J Miller, N Bland, P Quinton, (2000) The Impact of Stops and Searches on Crime and the Community, Police Research Series Paper 127 London: Home Office</w:t>
            </w:r>
            <w:r w:rsidR="00814402">
              <w:rPr>
                <w:rFonts w:ascii="Arial" w:hAnsi="Arial" w:cs="Arial"/>
                <w:b/>
                <w:sz w:val="20"/>
                <w:szCs w:val="20"/>
              </w:rPr>
              <w:t xml:space="preserve"> (available online)</w:t>
            </w:r>
          </w:p>
        </w:tc>
        <w:tc>
          <w:tcPr>
            <w:tcW w:w="2407" w:type="dxa"/>
          </w:tcPr>
          <w:p w14:paraId="7D443E80" w14:textId="77777777" w:rsidR="00D9709D" w:rsidRDefault="001872F6" w:rsidP="003264EA">
            <w:pPr>
              <w:rPr>
                <w:rFonts w:ascii="Arial" w:hAnsi="Arial" w:cs="Arial"/>
                <w:sz w:val="20"/>
                <w:szCs w:val="20"/>
              </w:rPr>
            </w:pPr>
            <w:r>
              <w:rPr>
                <w:rFonts w:ascii="Arial" w:hAnsi="Arial" w:cs="Arial"/>
                <w:sz w:val="20"/>
                <w:szCs w:val="20"/>
              </w:rPr>
              <w:t xml:space="preserve">This paper is </w:t>
            </w:r>
            <w:r w:rsidR="003264EA" w:rsidRPr="003264EA">
              <w:rPr>
                <w:rFonts w:ascii="Arial" w:hAnsi="Arial" w:cs="Arial"/>
                <w:sz w:val="20"/>
                <w:szCs w:val="20"/>
              </w:rPr>
              <w:t xml:space="preserve">extremely relevant since it </w:t>
            </w:r>
            <w:r w:rsidR="003264EA">
              <w:rPr>
                <w:rFonts w:ascii="Arial" w:hAnsi="Arial" w:cs="Arial"/>
                <w:sz w:val="20"/>
                <w:szCs w:val="20"/>
              </w:rPr>
              <w:t>deals with survey which the government conducted amongst the population, particularly among minorities, in order to understand their points of view.</w:t>
            </w:r>
          </w:p>
        </w:tc>
        <w:tc>
          <w:tcPr>
            <w:tcW w:w="2407" w:type="dxa"/>
          </w:tcPr>
          <w:p w14:paraId="3E1E9E86" w14:textId="77777777" w:rsidR="00D9709D" w:rsidRDefault="003264EA" w:rsidP="009E74AF">
            <w:pPr>
              <w:rPr>
                <w:rFonts w:ascii="Arial" w:hAnsi="Arial" w:cs="Arial"/>
                <w:sz w:val="20"/>
                <w:szCs w:val="20"/>
              </w:rPr>
            </w:pPr>
            <w:r>
              <w:rPr>
                <w:rFonts w:ascii="Arial" w:hAnsi="Arial" w:cs="Arial"/>
                <w:sz w:val="20"/>
                <w:szCs w:val="20"/>
              </w:rPr>
              <w:t>Overall, the paper seems to present balanced views, focusing both on criticisms and positive aspects.</w:t>
            </w:r>
          </w:p>
        </w:tc>
        <w:tc>
          <w:tcPr>
            <w:tcW w:w="2407" w:type="dxa"/>
          </w:tcPr>
          <w:p w14:paraId="37B4556B" w14:textId="77777777" w:rsidR="00D9709D" w:rsidRDefault="003264EA" w:rsidP="00E83AC5">
            <w:pPr>
              <w:rPr>
                <w:rFonts w:ascii="Arial" w:hAnsi="Arial" w:cs="Arial"/>
                <w:sz w:val="20"/>
                <w:szCs w:val="20"/>
              </w:rPr>
            </w:pPr>
            <w:r>
              <w:rPr>
                <w:rFonts w:ascii="Arial" w:hAnsi="Arial" w:cs="Arial"/>
                <w:sz w:val="20"/>
                <w:szCs w:val="20"/>
              </w:rPr>
              <w:t>The fact that many academics have cited this paper suggests that it is unbiased and authoritative</w:t>
            </w:r>
            <w:r w:rsidR="00E83AC5">
              <w:rPr>
                <w:rFonts w:ascii="Arial" w:hAnsi="Arial" w:cs="Arial"/>
                <w:sz w:val="20"/>
                <w:szCs w:val="20"/>
              </w:rPr>
              <w:t>. In fact, the three authors have worked together for some time and belonged to the PRCU.</w:t>
            </w:r>
          </w:p>
        </w:tc>
      </w:tr>
      <w:tr w:rsidR="00D9709D" w14:paraId="4B2D5B16" w14:textId="77777777" w:rsidTr="00D9709D">
        <w:tc>
          <w:tcPr>
            <w:tcW w:w="2407" w:type="dxa"/>
          </w:tcPr>
          <w:p w14:paraId="085910FE" w14:textId="77777777" w:rsidR="00D9709D" w:rsidRPr="00D9709D" w:rsidRDefault="00D9709D" w:rsidP="009E74AF">
            <w:pPr>
              <w:rPr>
                <w:rFonts w:ascii="Arial" w:hAnsi="Arial" w:cs="Arial"/>
                <w:b/>
                <w:sz w:val="20"/>
                <w:szCs w:val="20"/>
              </w:rPr>
            </w:pPr>
            <w:r w:rsidRPr="00D9709D">
              <w:rPr>
                <w:rFonts w:ascii="Arial" w:hAnsi="Arial" w:cs="Arial"/>
                <w:b/>
                <w:sz w:val="20"/>
                <w:szCs w:val="20"/>
              </w:rPr>
              <w:t>W Macpherson, The Stephen Lawrence Inquiry, Report of an Inquiry by Sir William Macpherson of Cluny (London: Home Office, 1999)</w:t>
            </w:r>
            <w:r w:rsidR="00814402">
              <w:rPr>
                <w:rFonts w:ascii="Arial" w:hAnsi="Arial" w:cs="Arial"/>
                <w:b/>
                <w:sz w:val="20"/>
                <w:szCs w:val="20"/>
              </w:rPr>
              <w:t xml:space="preserve"> </w:t>
            </w:r>
          </w:p>
        </w:tc>
        <w:tc>
          <w:tcPr>
            <w:tcW w:w="2407" w:type="dxa"/>
          </w:tcPr>
          <w:p w14:paraId="5BED8CA1" w14:textId="77777777" w:rsidR="00D9709D" w:rsidRDefault="00D11188" w:rsidP="00D11188">
            <w:pPr>
              <w:rPr>
                <w:rFonts w:ascii="Arial" w:hAnsi="Arial" w:cs="Arial"/>
                <w:sz w:val="20"/>
                <w:szCs w:val="20"/>
              </w:rPr>
            </w:pPr>
            <w:r>
              <w:rPr>
                <w:rFonts w:ascii="Arial" w:hAnsi="Arial" w:cs="Arial"/>
                <w:sz w:val="20"/>
                <w:szCs w:val="20"/>
              </w:rPr>
              <w:t>This report is not too relevant to stop and search powers. However, it denounced the police as institutionally racist and has opened people’s eyes to some discriminatory culture.</w:t>
            </w:r>
          </w:p>
        </w:tc>
        <w:tc>
          <w:tcPr>
            <w:tcW w:w="2407" w:type="dxa"/>
          </w:tcPr>
          <w:p w14:paraId="4338EAB5" w14:textId="77777777" w:rsidR="00D9709D" w:rsidRDefault="005863D0" w:rsidP="0049431F">
            <w:pPr>
              <w:rPr>
                <w:rFonts w:ascii="Arial" w:hAnsi="Arial" w:cs="Arial"/>
                <w:sz w:val="20"/>
                <w:szCs w:val="20"/>
              </w:rPr>
            </w:pPr>
            <w:r>
              <w:rPr>
                <w:rFonts w:ascii="Arial" w:hAnsi="Arial" w:cs="Arial"/>
                <w:sz w:val="20"/>
                <w:szCs w:val="20"/>
              </w:rPr>
              <w:t xml:space="preserve">It is quite reliable since it was requested by the Home Secretary after Lawrence was murdered. </w:t>
            </w:r>
          </w:p>
        </w:tc>
        <w:tc>
          <w:tcPr>
            <w:tcW w:w="2407" w:type="dxa"/>
          </w:tcPr>
          <w:p w14:paraId="79910302" w14:textId="77777777" w:rsidR="00D9709D" w:rsidRDefault="007E28EC" w:rsidP="009E74AF">
            <w:pPr>
              <w:rPr>
                <w:rFonts w:ascii="Arial" w:hAnsi="Arial" w:cs="Arial"/>
                <w:sz w:val="20"/>
                <w:szCs w:val="20"/>
              </w:rPr>
            </w:pPr>
            <w:r>
              <w:rPr>
                <w:rFonts w:ascii="Arial" w:hAnsi="Arial" w:cs="Arial"/>
                <w:sz w:val="20"/>
                <w:szCs w:val="20"/>
              </w:rPr>
              <w:t>This enquiry is authoritative for two reasons. First, Sir Macpherson is an expert in his field. Secondly, it has been cited by an extremely large number of academics.</w:t>
            </w:r>
            <w:r w:rsidR="0049431F">
              <w:rPr>
                <w:rFonts w:ascii="Arial" w:hAnsi="Arial" w:cs="Arial"/>
                <w:sz w:val="20"/>
                <w:szCs w:val="20"/>
              </w:rPr>
              <w:t xml:space="preserve"> Yet, sometimes it seems too harsh with the police.</w:t>
            </w:r>
          </w:p>
        </w:tc>
      </w:tr>
    </w:tbl>
    <w:p w14:paraId="260C4278" w14:textId="77777777" w:rsidR="00D9709D" w:rsidRPr="00D9709D" w:rsidRDefault="00D9709D" w:rsidP="00D9709D">
      <w:pPr>
        <w:ind w:left="1417"/>
        <w:rPr>
          <w:rFonts w:ascii="Arial" w:hAnsi="Arial" w:cs="Arial"/>
          <w:sz w:val="20"/>
          <w:szCs w:val="20"/>
        </w:rPr>
      </w:pPr>
      <w:r w:rsidRPr="00D9709D">
        <w:rPr>
          <w:rFonts w:ascii="Arial" w:hAnsi="Arial" w:cs="Arial"/>
          <w:sz w:val="20"/>
          <w:szCs w:val="20"/>
        </w:rPr>
        <w:tab/>
      </w:r>
    </w:p>
    <w:tbl>
      <w:tblPr>
        <w:tblStyle w:val="GridTableLight"/>
        <w:tblW w:w="0" w:type="auto"/>
        <w:tblLook w:val="04A0" w:firstRow="1" w:lastRow="0" w:firstColumn="1" w:lastColumn="0" w:noHBand="0" w:noVBand="1"/>
      </w:tblPr>
      <w:tblGrid>
        <w:gridCol w:w="2407"/>
        <w:gridCol w:w="2407"/>
        <w:gridCol w:w="2407"/>
        <w:gridCol w:w="2407"/>
      </w:tblGrid>
      <w:tr w:rsidR="00A11D0F" w:rsidRPr="00D9709D" w14:paraId="7D5DBD06" w14:textId="77777777" w:rsidTr="002B7954">
        <w:tc>
          <w:tcPr>
            <w:tcW w:w="2407" w:type="dxa"/>
          </w:tcPr>
          <w:p w14:paraId="3F5EC984" w14:textId="77777777" w:rsidR="00A11D0F" w:rsidRDefault="00A11D0F" w:rsidP="002B7954">
            <w:pPr>
              <w:jc w:val="center"/>
              <w:rPr>
                <w:rFonts w:ascii="Arial" w:hAnsi="Arial" w:cs="Arial"/>
                <w:sz w:val="32"/>
                <w:szCs w:val="32"/>
              </w:rPr>
            </w:pPr>
            <w:r>
              <w:rPr>
                <w:rFonts w:ascii="Arial" w:hAnsi="Arial" w:cs="Arial"/>
                <w:sz w:val="32"/>
                <w:szCs w:val="32"/>
              </w:rPr>
              <w:t>Newspaper</w:t>
            </w:r>
          </w:p>
          <w:p w14:paraId="32659137" w14:textId="77777777" w:rsidR="00A11D0F" w:rsidRPr="00D9709D" w:rsidRDefault="005B199D" w:rsidP="002B7954">
            <w:pPr>
              <w:jc w:val="center"/>
              <w:rPr>
                <w:rFonts w:ascii="Arial" w:hAnsi="Arial" w:cs="Arial"/>
                <w:b/>
                <w:sz w:val="24"/>
                <w:szCs w:val="24"/>
              </w:rPr>
            </w:pPr>
            <w:r>
              <w:rPr>
                <w:rFonts w:ascii="Arial" w:hAnsi="Arial" w:cs="Arial"/>
                <w:b/>
                <w:sz w:val="24"/>
                <w:szCs w:val="24"/>
              </w:rPr>
              <w:t>(secondary source</w:t>
            </w:r>
            <w:r w:rsidR="00A11D0F" w:rsidRPr="00D9709D">
              <w:rPr>
                <w:rFonts w:ascii="Arial" w:hAnsi="Arial" w:cs="Arial"/>
                <w:b/>
                <w:sz w:val="24"/>
                <w:szCs w:val="24"/>
              </w:rPr>
              <w:t>)</w:t>
            </w:r>
          </w:p>
        </w:tc>
        <w:tc>
          <w:tcPr>
            <w:tcW w:w="2407" w:type="dxa"/>
          </w:tcPr>
          <w:p w14:paraId="7D80B0A9" w14:textId="77777777" w:rsidR="00A11D0F" w:rsidRPr="00D9709D" w:rsidRDefault="00A11D0F" w:rsidP="002B7954">
            <w:pPr>
              <w:jc w:val="center"/>
              <w:rPr>
                <w:rFonts w:ascii="Arial" w:hAnsi="Arial" w:cs="Arial"/>
                <w:sz w:val="32"/>
                <w:szCs w:val="32"/>
              </w:rPr>
            </w:pPr>
            <w:r>
              <w:rPr>
                <w:rFonts w:ascii="Arial" w:hAnsi="Arial" w:cs="Arial"/>
                <w:sz w:val="32"/>
                <w:szCs w:val="32"/>
              </w:rPr>
              <w:t>Relevance</w:t>
            </w:r>
          </w:p>
        </w:tc>
        <w:tc>
          <w:tcPr>
            <w:tcW w:w="2407" w:type="dxa"/>
          </w:tcPr>
          <w:p w14:paraId="4D0640C0" w14:textId="77777777" w:rsidR="00A11D0F" w:rsidRPr="00D9709D" w:rsidRDefault="00A11D0F" w:rsidP="002B7954">
            <w:pPr>
              <w:jc w:val="center"/>
              <w:rPr>
                <w:rFonts w:ascii="Arial" w:hAnsi="Arial" w:cs="Arial"/>
                <w:sz w:val="32"/>
                <w:szCs w:val="32"/>
              </w:rPr>
            </w:pPr>
            <w:r>
              <w:rPr>
                <w:rFonts w:ascii="Arial" w:hAnsi="Arial" w:cs="Arial"/>
                <w:sz w:val="32"/>
                <w:szCs w:val="32"/>
              </w:rPr>
              <w:t>Reliability</w:t>
            </w:r>
          </w:p>
        </w:tc>
        <w:tc>
          <w:tcPr>
            <w:tcW w:w="2407" w:type="dxa"/>
          </w:tcPr>
          <w:p w14:paraId="03EEDB3F" w14:textId="77777777" w:rsidR="00A11D0F" w:rsidRPr="00D9709D" w:rsidRDefault="00A11D0F" w:rsidP="002B7954">
            <w:pPr>
              <w:jc w:val="center"/>
              <w:rPr>
                <w:rFonts w:ascii="Arial" w:hAnsi="Arial" w:cs="Arial"/>
                <w:sz w:val="32"/>
                <w:szCs w:val="32"/>
              </w:rPr>
            </w:pPr>
            <w:r>
              <w:rPr>
                <w:rFonts w:ascii="Arial" w:hAnsi="Arial" w:cs="Arial"/>
                <w:sz w:val="32"/>
                <w:szCs w:val="32"/>
              </w:rPr>
              <w:t>Weight of Authority</w:t>
            </w:r>
          </w:p>
        </w:tc>
      </w:tr>
      <w:tr w:rsidR="00F3520D" w:rsidRPr="00F3520D" w14:paraId="631BC79F" w14:textId="77777777" w:rsidTr="002B7954">
        <w:tc>
          <w:tcPr>
            <w:tcW w:w="2407" w:type="dxa"/>
          </w:tcPr>
          <w:p w14:paraId="102997C7" w14:textId="77777777" w:rsidR="00F3520D" w:rsidRPr="00F3520D" w:rsidRDefault="00F3520D" w:rsidP="002B7954">
            <w:pPr>
              <w:jc w:val="center"/>
              <w:rPr>
                <w:rFonts w:ascii="Arial" w:hAnsi="Arial" w:cs="Arial"/>
                <w:b/>
                <w:sz w:val="20"/>
                <w:szCs w:val="20"/>
              </w:rPr>
            </w:pPr>
            <w:r w:rsidRPr="00F3520D">
              <w:rPr>
                <w:rFonts w:ascii="Arial" w:hAnsi="Arial" w:cs="Arial"/>
                <w:b/>
                <w:sz w:val="20"/>
                <w:szCs w:val="20"/>
              </w:rPr>
              <w:t xml:space="preserve">Vikram Dodd, “Asian men targeted in stop and search” The Guardian (17 August 2005) </w:t>
            </w:r>
            <w:r>
              <w:rPr>
                <w:rFonts w:ascii="Arial" w:hAnsi="Arial" w:cs="Arial"/>
                <w:b/>
                <w:sz w:val="20"/>
                <w:szCs w:val="20"/>
              </w:rPr>
              <w:t>(available online)</w:t>
            </w:r>
          </w:p>
        </w:tc>
        <w:tc>
          <w:tcPr>
            <w:tcW w:w="2407" w:type="dxa"/>
          </w:tcPr>
          <w:p w14:paraId="26B065DE" w14:textId="77777777" w:rsidR="00F3520D" w:rsidRPr="00F3520D" w:rsidRDefault="00F3520D" w:rsidP="00FA1ACD">
            <w:pPr>
              <w:jc w:val="center"/>
              <w:rPr>
                <w:rFonts w:ascii="Arial" w:hAnsi="Arial" w:cs="Arial"/>
                <w:sz w:val="20"/>
                <w:szCs w:val="20"/>
              </w:rPr>
            </w:pPr>
            <w:r>
              <w:rPr>
                <w:rFonts w:ascii="Arial" w:hAnsi="Arial" w:cs="Arial"/>
                <w:sz w:val="20"/>
                <w:szCs w:val="20"/>
              </w:rPr>
              <w:t xml:space="preserve">This newspaper article is extremely relevant to the topic since it gives voice to some people who </w:t>
            </w:r>
            <w:r w:rsidR="00FA1ACD">
              <w:rPr>
                <w:rFonts w:ascii="Arial" w:hAnsi="Arial" w:cs="Arial"/>
                <w:sz w:val="20"/>
                <w:szCs w:val="20"/>
              </w:rPr>
              <w:t xml:space="preserve">were affected by these measures and provides information in a very descriptive way. </w:t>
            </w:r>
            <w:r w:rsidR="006718FB">
              <w:rPr>
                <w:rFonts w:ascii="Arial" w:hAnsi="Arial" w:cs="Arial"/>
                <w:sz w:val="20"/>
                <w:szCs w:val="20"/>
              </w:rPr>
              <w:t xml:space="preserve">In particular, this article is relevant because it was written roughly one month later the bombings in London. </w:t>
            </w:r>
          </w:p>
        </w:tc>
        <w:tc>
          <w:tcPr>
            <w:tcW w:w="2407" w:type="dxa"/>
          </w:tcPr>
          <w:p w14:paraId="5840AE71" w14:textId="77777777" w:rsidR="00F3520D" w:rsidRPr="00F3520D" w:rsidRDefault="00F3520D" w:rsidP="00DB0FAD">
            <w:pPr>
              <w:jc w:val="center"/>
              <w:rPr>
                <w:rFonts w:ascii="Arial" w:hAnsi="Arial" w:cs="Arial"/>
                <w:sz w:val="20"/>
                <w:szCs w:val="20"/>
              </w:rPr>
            </w:pPr>
            <w:r>
              <w:rPr>
                <w:rFonts w:ascii="Arial" w:hAnsi="Arial" w:cs="Arial"/>
                <w:sz w:val="20"/>
                <w:szCs w:val="20"/>
              </w:rPr>
              <w:t>Since a newspaper’s aim is to deliver new</w:t>
            </w:r>
            <w:r w:rsidR="00DB0FAD">
              <w:rPr>
                <w:rFonts w:ascii="Arial" w:hAnsi="Arial" w:cs="Arial"/>
                <w:sz w:val="20"/>
                <w:szCs w:val="20"/>
              </w:rPr>
              <w:t xml:space="preserve">s to as many people as possible, </w:t>
            </w:r>
            <w:r>
              <w:rPr>
                <w:rFonts w:ascii="Arial" w:hAnsi="Arial" w:cs="Arial"/>
                <w:sz w:val="20"/>
                <w:szCs w:val="20"/>
              </w:rPr>
              <w:t xml:space="preserve">the language of the article cannot be as </w:t>
            </w:r>
            <w:r w:rsidR="00483AD7">
              <w:rPr>
                <w:rFonts w:ascii="Arial" w:hAnsi="Arial" w:cs="Arial"/>
                <w:sz w:val="20"/>
                <w:szCs w:val="20"/>
              </w:rPr>
              <w:t>refined and complex as that of a journal. Even though the Guardian is one of the most prestigious British newspapers, it is common knowledge that its journalists are sometimes quite biased.</w:t>
            </w:r>
            <w:r w:rsidR="006718FB">
              <w:rPr>
                <w:rFonts w:ascii="Arial" w:hAnsi="Arial" w:cs="Arial"/>
                <w:sz w:val="20"/>
                <w:szCs w:val="20"/>
              </w:rPr>
              <w:t xml:space="preserve"> </w:t>
            </w:r>
          </w:p>
        </w:tc>
        <w:tc>
          <w:tcPr>
            <w:tcW w:w="2407" w:type="dxa"/>
          </w:tcPr>
          <w:p w14:paraId="4471191D" w14:textId="77777777" w:rsidR="009C2036" w:rsidRDefault="00483AD7" w:rsidP="009C2036">
            <w:pPr>
              <w:jc w:val="center"/>
              <w:rPr>
                <w:rFonts w:ascii="Arial" w:hAnsi="Arial" w:cs="Arial"/>
                <w:sz w:val="20"/>
                <w:szCs w:val="20"/>
              </w:rPr>
            </w:pPr>
            <w:r>
              <w:rPr>
                <w:rFonts w:ascii="Arial" w:hAnsi="Arial" w:cs="Arial"/>
                <w:sz w:val="20"/>
                <w:szCs w:val="20"/>
              </w:rPr>
              <w:t xml:space="preserve">Vikram Dodd is a very renowned journalist and is a senior crime reporter. However, a newspaper article is not very authoritative, as far as legal essays are concerned. Yet, it can be useful for providing some examples and for presenting what </w:t>
            </w:r>
            <w:r w:rsidR="00626A0C">
              <w:rPr>
                <w:rFonts w:ascii="Arial" w:hAnsi="Arial" w:cs="Arial"/>
                <w:sz w:val="20"/>
                <w:szCs w:val="20"/>
              </w:rPr>
              <w:t>the general opinion is.</w:t>
            </w:r>
          </w:p>
          <w:p w14:paraId="41DD553C" w14:textId="77777777" w:rsidR="00F3520D" w:rsidRPr="009C2036" w:rsidRDefault="009C2036" w:rsidP="009C2036">
            <w:pPr>
              <w:rPr>
                <w:rFonts w:ascii="Arial" w:hAnsi="Arial" w:cs="Arial"/>
                <w:sz w:val="20"/>
                <w:szCs w:val="20"/>
              </w:rPr>
            </w:pPr>
            <w:r>
              <w:rPr>
                <w:rFonts w:ascii="Arial" w:hAnsi="Arial" w:cs="Arial"/>
                <w:sz w:val="20"/>
                <w:szCs w:val="20"/>
              </w:rPr>
              <w:t>Overall, one must be wary of newspapers because they tend to sensationalise issues, but can use them in order to have a general idea on the topic.</w:t>
            </w:r>
          </w:p>
        </w:tc>
      </w:tr>
    </w:tbl>
    <w:p w14:paraId="3BC5FD06" w14:textId="77777777" w:rsidR="00D9709D" w:rsidRPr="00F3520D" w:rsidRDefault="00D9709D" w:rsidP="00A11D0F">
      <w:pPr>
        <w:ind w:firstLine="708"/>
        <w:rPr>
          <w:rFonts w:ascii="Arial" w:hAnsi="Arial" w:cs="Arial"/>
          <w:sz w:val="20"/>
          <w:szCs w:val="20"/>
        </w:rPr>
      </w:pPr>
    </w:p>
    <w:p w14:paraId="358895FD" w14:textId="77777777" w:rsidR="006718FB" w:rsidRPr="006718FB" w:rsidRDefault="006718FB" w:rsidP="006718FB">
      <w:pPr>
        <w:spacing w:line="360" w:lineRule="auto"/>
        <w:rPr>
          <w:rFonts w:ascii="Arial" w:hAnsi="Arial" w:cs="Arial"/>
          <w:sz w:val="24"/>
          <w:szCs w:val="24"/>
        </w:rPr>
      </w:pPr>
    </w:p>
    <w:sectPr w:rsidR="006718FB" w:rsidRPr="006718FB">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FB87A" w14:textId="77777777" w:rsidR="00136503" w:rsidRDefault="00136503" w:rsidP="00CC0180">
      <w:pPr>
        <w:spacing w:after="0" w:line="240" w:lineRule="auto"/>
      </w:pPr>
      <w:r>
        <w:separator/>
      </w:r>
    </w:p>
  </w:endnote>
  <w:endnote w:type="continuationSeparator" w:id="0">
    <w:p w14:paraId="2E876D3D" w14:textId="77777777" w:rsidR="00136503" w:rsidRDefault="00136503" w:rsidP="00CC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966038"/>
      <w:docPartObj>
        <w:docPartGallery w:val="Page Numbers (Bottom of Page)"/>
        <w:docPartUnique/>
      </w:docPartObj>
    </w:sdtPr>
    <w:sdtEndPr>
      <w:rPr>
        <w:noProof/>
      </w:rPr>
    </w:sdtEndPr>
    <w:sdtContent>
      <w:p w14:paraId="30EEE1A5" w14:textId="77777777" w:rsidR="00456D5A" w:rsidRDefault="00456D5A">
        <w:pPr>
          <w:pStyle w:val="Footer"/>
          <w:jc w:val="right"/>
        </w:pPr>
      </w:p>
      <w:p w14:paraId="5753343B" w14:textId="77777777" w:rsidR="00456D5A" w:rsidRDefault="00456D5A">
        <w:pPr>
          <w:pStyle w:val="Footer"/>
          <w:jc w:val="right"/>
        </w:pPr>
        <w:r>
          <w:fldChar w:fldCharType="begin"/>
        </w:r>
        <w:r>
          <w:instrText xml:space="preserve"> PAGE   \* MERGEFORMAT </w:instrText>
        </w:r>
        <w:r>
          <w:fldChar w:fldCharType="separate"/>
        </w:r>
        <w:r w:rsidR="00DE706A">
          <w:rPr>
            <w:noProof/>
          </w:rPr>
          <w:t>1</w:t>
        </w:r>
        <w:r>
          <w:rPr>
            <w:noProof/>
          </w:rPr>
          <w:fldChar w:fldCharType="end"/>
        </w:r>
      </w:p>
    </w:sdtContent>
  </w:sdt>
  <w:p w14:paraId="2E07AB9A" w14:textId="77777777" w:rsidR="00456D5A" w:rsidRDefault="00456D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ED756" w14:textId="77777777" w:rsidR="00136503" w:rsidRDefault="00136503" w:rsidP="00CC0180">
      <w:pPr>
        <w:spacing w:after="0" w:line="240" w:lineRule="auto"/>
      </w:pPr>
      <w:r>
        <w:separator/>
      </w:r>
    </w:p>
  </w:footnote>
  <w:footnote w:type="continuationSeparator" w:id="0">
    <w:p w14:paraId="6B4BDD31" w14:textId="77777777" w:rsidR="00136503" w:rsidRDefault="00136503" w:rsidP="00CC0180">
      <w:pPr>
        <w:spacing w:after="0" w:line="240" w:lineRule="auto"/>
      </w:pPr>
      <w:r>
        <w:continuationSeparator/>
      </w:r>
    </w:p>
  </w:footnote>
  <w:footnote w:id="1">
    <w:p w14:paraId="50793277" w14:textId="77777777" w:rsidR="00456D5A" w:rsidRPr="004F2284" w:rsidRDefault="00456D5A" w:rsidP="00041C1A">
      <w:pPr>
        <w:pStyle w:val="FootnoteText"/>
        <w:ind w:left="1417"/>
        <w:rPr>
          <w:rFonts w:ascii="Arial" w:hAnsi="Arial" w:cs="Arial"/>
        </w:rPr>
      </w:pPr>
      <w:r w:rsidRPr="004F2284">
        <w:rPr>
          <w:rStyle w:val="FootnoteReference"/>
          <w:rFonts w:ascii="Arial" w:hAnsi="Arial" w:cs="Arial"/>
        </w:rPr>
        <w:footnoteRef/>
      </w:r>
      <w:r w:rsidRPr="004F2284">
        <w:rPr>
          <w:rFonts w:ascii="Arial" w:hAnsi="Arial" w:cs="Arial"/>
        </w:rPr>
        <w:t xml:space="preserve"> Home Office, Code of Practice for the Exercise by Police Officers of Statutory Powers of Stop and Search, Code A (London: Home Office, 2005)</w:t>
      </w:r>
    </w:p>
  </w:footnote>
  <w:footnote w:id="2">
    <w:p w14:paraId="5491EAAD" w14:textId="77777777" w:rsidR="00456D5A" w:rsidRPr="004F2284" w:rsidRDefault="00456D5A" w:rsidP="00041C1A">
      <w:pPr>
        <w:pStyle w:val="FootnoteText"/>
        <w:ind w:left="1417"/>
        <w:rPr>
          <w:rFonts w:ascii="Arial" w:hAnsi="Arial" w:cs="Arial"/>
        </w:rPr>
      </w:pPr>
      <w:r w:rsidRPr="004F2284">
        <w:rPr>
          <w:rStyle w:val="FootnoteReference"/>
          <w:rFonts w:ascii="Arial" w:hAnsi="Arial" w:cs="Arial"/>
        </w:rPr>
        <w:footnoteRef/>
      </w:r>
      <w:r w:rsidRPr="004F2284">
        <w:rPr>
          <w:rFonts w:ascii="Arial" w:hAnsi="Arial" w:cs="Arial"/>
        </w:rPr>
        <w:t xml:space="preserve"> W Macpherson, The Stephen Lawrence Inquiry, Report of an Inquiry by Sir William Macpherson of Cluny (London: Home Office, 1999)</w:t>
      </w:r>
    </w:p>
  </w:footnote>
  <w:footnote w:id="3">
    <w:p w14:paraId="7CE4DAD1" w14:textId="77777777" w:rsidR="00456D5A" w:rsidRPr="004F2284" w:rsidRDefault="00456D5A" w:rsidP="00041C1A">
      <w:pPr>
        <w:pStyle w:val="FootnoteText"/>
        <w:ind w:left="1417"/>
        <w:rPr>
          <w:rFonts w:ascii="Arial" w:hAnsi="Arial" w:cs="Arial"/>
        </w:rPr>
      </w:pPr>
      <w:r w:rsidRPr="004F2284">
        <w:rPr>
          <w:rStyle w:val="FootnoteReference"/>
          <w:rFonts w:ascii="Arial" w:hAnsi="Arial" w:cs="Arial"/>
        </w:rPr>
        <w:footnoteRef/>
      </w:r>
      <w:r w:rsidRPr="004F2284">
        <w:rPr>
          <w:rFonts w:ascii="Arial" w:hAnsi="Arial" w:cs="Arial"/>
        </w:rPr>
        <w:t xml:space="preserve"> B Bowling &amp; C Phillips,  “Disproportionate and Discriminatory: Reviewing the Evidence on Police Stop and Search” (2007) 70 MLR 936  </w:t>
      </w:r>
    </w:p>
  </w:footnote>
  <w:footnote w:id="4">
    <w:p w14:paraId="72AB7A4F" w14:textId="77777777" w:rsidR="00456D5A" w:rsidRPr="004F2284" w:rsidRDefault="00456D5A" w:rsidP="00041C1A">
      <w:pPr>
        <w:pStyle w:val="FootnoteText"/>
        <w:ind w:left="1417"/>
        <w:rPr>
          <w:rFonts w:ascii="Arial" w:hAnsi="Arial" w:cs="Arial"/>
        </w:rPr>
      </w:pPr>
      <w:r w:rsidRPr="004F2284">
        <w:rPr>
          <w:rStyle w:val="FootnoteReference"/>
          <w:rFonts w:ascii="Arial" w:hAnsi="Arial" w:cs="Arial"/>
        </w:rPr>
        <w:footnoteRef/>
      </w:r>
      <w:r w:rsidRPr="004F2284">
        <w:rPr>
          <w:rFonts w:ascii="Arial" w:hAnsi="Arial" w:cs="Arial"/>
        </w:rPr>
        <w:t xml:space="preserve"> </w:t>
      </w:r>
      <w:r w:rsidRPr="00284200">
        <w:rPr>
          <w:rFonts w:ascii="Arial" w:hAnsi="Arial" w:cs="Arial"/>
        </w:rPr>
        <w:t>D Ellis, “Stop and search: Disproportionality, Discretion and Generalisations” 83(3) The Police Journal  199</w:t>
      </w:r>
    </w:p>
  </w:footnote>
  <w:footnote w:id="5">
    <w:p w14:paraId="3780289A" w14:textId="77777777" w:rsidR="00456D5A" w:rsidRPr="00852C12" w:rsidRDefault="00456D5A" w:rsidP="007E2923">
      <w:pPr>
        <w:pStyle w:val="FootnoteText"/>
        <w:ind w:left="1417"/>
        <w:rPr>
          <w:rFonts w:ascii="Arial" w:hAnsi="Arial" w:cs="Arial"/>
          <w:lang w:val="en-US"/>
        </w:rPr>
      </w:pPr>
      <w:r w:rsidRPr="00852C12">
        <w:rPr>
          <w:rStyle w:val="FootnoteReference"/>
          <w:rFonts w:ascii="Arial" w:hAnsi="Arial" w:cs="Arial"/>
        </w:rPr>
        <w:footnoteRef/>
      </w:r>
      <w:r w:rsidRPr="00852C12">
        <w:rPr>
          <w:rFonts w:ascii="Arial" w:hAnsi="Arial" w:cs="Arial"/>
        </w:rPr>
        <w:t xml:space="preserve"> (s. 1)</w:t>
      </w:r>
    </w:p>
  </w:footnote>
  <w:footnote w:id="6">
    <w:p w14:paraId="4AA2782F" w14:textId="77777777" w:rsidR="00456D5A" w:rsidRPr="00852C12" w:rsidRDefault="00456D5A" w:rsidP="007E2923">
      <w:pPr>
        <w:pStyle w:val="FootnoteText"/>
        <w:ind w:left="1417"/>
        <w:rPr>
          <w:rFonts w:ascii="Arial" w:hAnsi="Arial" w:cs="Arial"/>
          <w:lang w:val="en-US"/>
        </w:rPr>
      </w:pPr>
      <w:r w:rsidRPr="00852C12">
        <w:rPr>
          <w:rStyle w:val="FootnoteReference"/>
          <w:rFonts w:ascii="Arial" w:hAnsi="Arial" w:cs="Arial"/>
        </w:rPr>
        <w:footnoteRef/>
      </w:r>
      <w:r w:rsidRPr="00852C12">
        <w:rPr>
          <w:rFonts w:ascii="Arial" w:hAnsi="Arial" w:cs="Arial"/>
        </w:rPr>
        <w:t xml:space="preserve"> (s. 23)</w:t>
      </w:r>
    </w:p>
  </w:footnote>
  <w:footnote w:id="7">
    <w:p w14:paraId="55E96D8D" w14:textId="77777777" w:rsidR="00456D5A" w:rsidRPr="00852C12" w:rsidRDefault="00456D5A" w:rsidP="007E2923">
      <w:pPr>
        <w:pStyle w:val="FootnoteText"/>
        <w:ind w:left="1417"/>
        <w:rPr>
          <w:rFonts w:ascii="Arial" w:hAnsi="Arial" w:cs="Arial"/>
          <w:lang w:val="en-US"/>
        </w:rPr>
      </w:pPr>
      <w:r w:rsidRPr="00852C12">
        <w:rPr>
          <w:rStyle w:val="FootnoteReference"/>
          <w:rFonts w:ascii="Arial" w:hAnsi="Arial" w:cs="Arial"/>
        </w:rPr>
        <w:footnoteRef/>
      </w:r>
      <w:r w:rsidRPr="00852C12">
        <w:rPr>
          <w:rFonts w:ascii="Arial" w:hAnsi="Arial" w:cs="Arial"/>
        </w:rPr>
        <w:t xml:space="preserve"> </w:t>
      </w:r>
      <w:r w:rsidRPr="00852C12">
        <w:rPr>
          <w:rFonts w:ascii="Arial" w:hAnsi="Arial" w:cs="Arial"/>
          <w:lang w:val="en-US"/>
        </w:rPr>
        <w:t>(s. 60)</w:t>
      </w:r>
    </w:p>
  </w:footnote>
  <w:footnote w:id="8">
    <w:p w14:paraId="771CA930" w14:textId="77777777" w:rsidR="00456D5A" w:rsidRPr="00852C12" w:rsidRDefault="00456D5A" w:rsidP="007E2923">
      <w:pPr>
        <w:pStyle w:val="FootnoteText"/>
        <w:ind w:left="1417"/>
        <w:rPr>
          <w:rFonts w:ascii="Arial" w:hAnsi="Arial" w:cs="Arial"/>
          <w:lang w:val="en-US"/>
        </w:rPr>
      </w:pPr>
      <w:r w:rsidRPr="00852C12">
        <w:rPr>
          <w:rStyle w:val="FootnoteReference"/>
          <w:rFonts w:ascii="Arial" w:hAnsi="Arial" w:cs="Arial"/>
        </w:rPr>
        <w:footnoteRef/>
      </w:r>
      <w:r w:rsidRPr="00852C12">
        <w:rPr>
          <w:rFonts w:ascii="Arial" w:hAnsi="Arial" w:cs="Arial"/>
        </w:rPr>
        <w:t xml:space="preserve"> </w:t>
      </w:r>
      <w:r w:rsidRPr="00852C12">
        <w:rPr>
          <w:rFonts w:ascii="Arial" w:hAnsi="Arial" w:cs="Arial"/>
          <w:lang w:val="en-US"/>
        </w:rPr>
        <w:t>(ss. 44-47)</w:t>
      </w:r>
    </w:p>
  </w:footnote>
  <w:footnote w:id="9">
    <w:p w14:paraId="21939704" w14:textId="77777777" w:rsidR="00456D5A" w:rsidRPr="00852C12" w:rsidRDefault="00456D5A" w:rsidP="007E2923">
      <w:pPr>
        <w:pStyle w:val="FootnoteText"/>
        <w:ind w:left="1417"/>
        <w:rPr>
          <w:rFonts w:ascii="Arial" w:hAnsi="Arial" w:cs="Arial"/>
          <w:lang w:val="en-US"/>
        </w:rPr>
      </w:pPr>
      <w:r w:rsidRPr="00852C12">
        <w:rPr>
          <w:rStyle w:val="FootnoteReference"/>
          <w:rFonts w:ascii="Arial" w:hAnsi="Arial" w:cs="Arial"/>
        </w:rPr>
        <w:footnoteRef/>
      </w:r>
      <w:r w:rsidRPr="00852C12">
        <w:rPr>
          <w:rFonts w:ascii="Arial" w:hAnsi="Arial" w:cs="Arial"/>
        </w:rPr>
        <w:t xml:space="preserve"> </w:t>
      </w:r>
      <w:r w:rsidRPr="00852C12">
        <w:rPr>
          <w:rFonts w:ascii="Arial" w:hAnsi="Arial" w:cs="Arial"/>
          <w:lang w:val="en-US"/>
        </w:rPr>
        <w:t>Terrorism Act 2006</w:t>
      </w:r>
    </w:p>
  </w:footnote>
  <w:footnote w:id="10">
    <w:p w14:paraId="3615429B" w14:textId="77777777" w:rsidR="00456D5A" w:rsidRPr="00852C12" w:rsidRDefault="00456D5A" w:rsidP="007E2923">
      <w:pPr>
        <w:pStyle w:val="FootnoteText"/>
        <w:ind w:left="1417"/>
        <w:rPr>
          <w:rFonts w:ascii="Arial" w:hAnsi="Arial" w:cs="Arial"/>
          <w:lang w:val="en-US"/>
        </w:rPr>
      </w:pPr>
      <w:r w:rsidRPr="00852C12">
        <w:rPr>
          <w:rStyle w:val="FootnoteReference"/>
          <w:rFonts w:ascii="Arial" w:hAnsi="Arial" w:cs="Arial"/>
        </w:rPr>
        <w:footnoteRef/>
      </w:r>
      <w:r w:rsidRPr="00852C12">
        <w:rPr>
          <w:rFonts w:ascii="Arial" w:hAnsi="Arial" w:cs="Arial"/>
        </w:rPr>
        <w:t xml:space="preserve"> </w:t>
      </w:r>
      <w:r w:rsidRPr="007E2BD4">
        <w:rPr>
          <w:rFonts w:ascii="Arial" w:hAnsi="Arial" w:cs="Arial"/>
        </w:rPr>
        <w:t>Home Office, Code of Practice for the Exercise by Police Officers of Statutory Powers of Stop and Search, Code A (London: Home Office, 2005)</w:t>
      </w:r>
    </w:p>
  </w:footnote>
  <w:footnote w:id="11">
    <w:p w14:paraId="68A8F917" w14:textId="77777777" w:rsidR="00456D5A" w:rsidRPr="00852C12" w:rsidRDefault="00456D5A" w:rsidP="007E2923">
      <w:pPr>
        <w:pStyle w:val="FootnoteText"/>
        <w:tabs>
          <w:tab w:val="right" w:pos="9638"/>
        </w:tabs>
        <w:ind w:left="1417"/>
        <w:rPr>
          <w:rFonts w:ascii="Arial" w:hAnsi="Arial" w:cs="Arial"/>
        </w:rPr>
      </w:pPr>
      <w:r w:rsidRPr="00852C12">
        <w:rPr>
          <w:rStyle w:val="FootnoteReference"/>
          <w:rFonts w:ascii="Arial" w:hAnsi="Arial" w:cs="Arial"/>
        </w:rPr>
        <w:footnoteRef/>
      </w:r>
      <w:r w:rsidRPr="00852C12">
        <w:rPr>
          <w:rFonts w:ascii="Arial" w:hAnsi="Arial" w:cs="Arial"/>
        </w:rPr>
        <w:t xml:space="preserve">B Bowling &amp; C Phillips,  “Disproportionate and Discriminatory: Reviewing the Evidence on Police Stop and Search” (2007) 70 MLR 936  </w:t>
      </w:r>
      <w:r w:rsidRPr="00852C12">
        <w:rPr>
          <w:rFonts w:ascii="Arial" w:hAnsi="Arial" w:cs="Arial"/>
        </w:rPr>
        <w:tab/>
      </w:r>
    </w:p>
  </w:footnote>
  <w:footnote w:id="12">
    <w:p w14:paraId="3568DDD1" w14:textId="77777777" w:rsidR="00456D5A" w:rsidRPr="00852C12" w:rsidRDefault="00456D5A" w:rsidP="007E2923">
      <w:pPr>
        <w:pStyle w:val="FootnoteText"/>
        <w:ind w:left="1417"/>
        <w:rPr>
          <w:rFonts w:ascii="Arial" w:hAnsi="Arial" w:cs="Arial"/>
        </w:rPr>
      </w:pPr>
      <w:r w:rsidRPr="00852C12">
        <w:rPr>
          <w:rStyle w:val="FootnoteReference"/>
          <w:rFonts w:ascii="Arial" w:hAnsi="Arial" w:cs="Arial"/>
        </w:rPr>
        <w:footnoteRef/>
      </w:r>
      <w:r w:rsidRPr="00852C12">
        <w:rPr>
          <w:rFonts w:ascii="Arial" w:hAnsi="Arial" w:cs="Arial"/>
        </w:rPr>
        <w:t xml:space="preserve"> Terrorism Act 2000  (s. 43)</w:t>
      </w:r>
    </w:p>
  </w:footnote>
  <w:footnote w:id="13">
    <w:p w14:paraId="13127B70" w14:textId="77777777" w:rsidR="00456D5A" w:rsidRPr="00852C12" w:rsidRDefault="00456D5A" w:rsidP="007E2923">
      <w:pPr>
        <w:pStyle w:val="FootnoteText"/>
        <w:ind w:left="1417"/>
        <w:rPr>
          <w:rFonts w:ascii="Arial" w:hAnsi="Arial" w:cs="Arial"/>
        </w:rPr>
      </w:pPr>
      <w:r w:rsidRPr="00852C12">
        <w:rPr>
          <w:rStyle w:val="FootnoteReference"/>
          <w:rFonts w:ascii="Arial" w:hAnsi="Arial" w:cs="Arial"/>
        </w:rPr>
        <w:footnoteRef/>
      </w:r>
      <w:r w:rsidRPr="00852C12">
        <w:rPr>
          <w:rFonts w:ascii="Arial" w:hAnsi="Arial" w:cs="Arial"/>
        </w:rPr>
        <w:t xml:space="preserve"> Criminal Justice and Public Order Act 1994 (s. 60)</w:t>
      </w:r>
    </w:p>
  </w:footnote>
  <w:footnote w:id="14">
    <w:p w14:paraId="4716295D" w14:textId="77777777" w:rsidR="00456D5A" w:rsidRPr="00852C12" w:rsidRDefault="00456D5A" w:rsidP="00DE04E2">
      <w:pPr>
        <w:pStyle w:val="FootnoteText"/>
        <w:ind w:left="1417"/>
        <w:rPr>
          <w:rFonts w:ascii="Arial" w:hAnsi="Arial" w:cs="Arial"/>
          <w:lang w:val="en-US"/>
        </w:rPr>
      </w:pPr>
      <w:r w:rsidRPr="00852C12">
        <w:rPr>
          <w:rStyle w:val="FootnoteReference"/>
          <w:rFonts w:ascii="Arial" w:hAnsi="Arial" w:cs="Arial"/>
        </w:rPr>
        <w:footnoteRef/>
      </w:r>
      <w:r w:rsidRPr="00DE04E2">
        <w:rPr>
          <w:rFonts w:ascii="Arial" w:hAnsi="Arial" w:cs="Arial"/>
          <w:lang w:val="en-US"/>
        </w:rPr>
        <w:t>C Elliott &amp; F Quinn,  English Legal System  (11th edition, Pearson Education Ltd, Harlow, 2010)</w:t>
      </w:r>
    </w:p>
  </w:footnote>
  <w:footnote w:id="15">
    <w:p w14:paraId="383DBF09" w14:textId="77777777" w:rsidR="00456D5A" w:rsidRPr="00852C12" w:rsidRDefault="00456D5A" w:rsidP="007E2923">
      <w:pPr>
        <w:pStyle w:val="FootnoteText"/>
        <w:ind w:left="1417"/>
        <w:rPr>
          <w:rFonts w:ascii="Arial" w:hAnsi="Arial" w:cs="Arial"/>
          <w:lang w:val="en-US"/>
        </w:rPr>
      </w:pPr>
      <w:r w:rsidRPr="00852C12">
        <w:rPr>
          <w:rStyle w:val="FootnoteReference"/>
          <w:rFonts w:ascii="Arial" w:hAnsi="Arial" w:cs="Arial"/>
        </w:rPr>
        <w:footnoteRef/>
      </w:r>
      <w:r w:rsidRPr="00852C12">
        <w:rPr>
          <w:rFonts w:ascii="Arial" w:hAnsi="Arial" w:cs="Arial"/>
        </w:rPr>
        <w:t xml:space="preserve"> K Reid, “Race Issues and Stop and Search: Looking behind the Statistics” (2009) 73(2) T</w:t>
      </w:r>
      <w:r>
        <w:rPr>
          <w:rFonts w:ascii="Arial" w:hAnsi="Arial" w:cs="Arial"/>
        </w:rPr>
        <w:t>he Journal of Criminal Law</w:t>
      </w:r>
      <w:r w:rsidRPr="00852C12">
        <w:rPr>
          <w:rFonts w:ascii="Arial" w:hAnsi="Arial" w:cs="Arial"/>
        </w:rPr>
        <w:t xml:space="preserve"> 165</w:t>
      </w:r>
    </w:p>
  </w:footnote>
  <w:footnote w:id="16">
    <w:p w14:paraId="33D6857A" w14:textId="77777777" w:rsidR="00456D5A" w:rsidRPr="00F702FF" w:rsidRDefault="00456D5A" w:rsidP="007E2923">
      <w:pPr>
        <w:pStyle w:val="FootnoteText"/>
        <w:ind w:left="1417"/>
        <w:rPr>
          <w:lang w:val="en-US"/>
        </w:rPr>
      </w:pPr>
      <w:r w:rsidRPr="00852C12">
        <w:rPr>
          <w:rStyle w:val="FootnoteReference"/>
          <w:rFonts w:ascii="Arial" w:hAnsi="Arial" w:cs="Arial"/>
        </w:rPr>
        <w:footnoteRef/>
      </w:r>
      <w:r w:rsidRPr="00852C12">
        <w:rPr>
          <w:rFonts w:ascii="Arial" w:hAnsi="Arial" w:cs="Arial"/>
        </w:rPr>
        <w:t xml:space="preserve"> D Moeckli, “Stop and Search under the Terrorism Act 2000: A Comment on R (Gillan) v Commissioner of Police for the Metrop</w:t>
      </w:r>
      <w:r>
        <w:rPr>
          <w:rFonts w:ascii="Arial" w:hAnsi="Arial" w:cs="Arial"/>
        </w:rPr>
        <w:t>olis” (2007) 70 (4) Modern Law Review 659</w:t>
      </w:r>
    </w:p>
  </w:footnote>
  <w:footnote w:id="17">
    <w:p w14:paraId="47CB5E8E" w14:textId="77777777" w:rsidR="00456D5A" w:rsidRPr="009E2426" w:rsidRDefault="00456D5A" w:rsidP="001270DA">
      <w:pPr>
        <w:spacing w:after="0"/>
        <w:ind w:left="1417"/>
        <w:rPr>
          <w:rFonts w:ascii="Arial" w:hAnsi="Arial" w:cs="Arial"/>
          <w:sz w:val="20"/>
          <w:szCs w:val="20"/>
          <w:lang w:val="en-US"/>
        </w:rPr>
      </w:pPr>
      <w:r w:rsidRPr="009E2426">
        <w:rPr>
          <w:rStyle w:val="FootnoteReference"/>
          <w:rFonts w:ascii="Arial" w:hAnsi="Arial" w:cs="Arial"/>
          <w:sz w:val="20"/>
          <w:szCs w:val="20"/>
        </w:rPr>
        <w:footnoteRef/>
      </w:r>
      <w:r w:rsidRPr="009E2426">
        <w:rPr>
          <w:rFonts w:ascii="Arial" w:hAnsi="Arial" w:cs="Arial"/>
          <w:sz w:val="20"/>
          <w:szCs w:val="20"/>
        </w:rPr>
        <w:t xml:space="preserve"> </w:t>
      </w:r>
      <w:r w:rsidRPr="009E2426">
        <w:rPr>
          <w:rFonts w:ascii="Arial" w:hAnsi="Arial" w:cs="Arial"/>
          <w:sz w:val="20"/>
          <w:szCs w:val="20"/>
          <w:lang w:val="en-US"/>
        </w:rPr>
        <w:t>House of Commons Home Affairs Committee</w:t>
      </w:r>
      <w:r w:rsidRPr="009E2426">
        <w:rPr>
          <w:rFonts w:ascii="Arial" w:hAnsi="Arial" w:cs="Arial"/>
          <w:i/>
          <w:sz w:val="20"/>
          <w:szCs w:val="20"/>
          <w:lang w:val="en-US"/>
        </w:rPr>
        <w:t>, Fourth Report of Session 2005-06: Terrorism Detention Powers</w:t>
      </w:r>
      <w:r w:rsidRPr="009E2426">
        <w:rPr>
          <w:rFonts w:ascii="Arial" w:hAnsi="Arial" w:cs="Arial"/>
          <w:sz w:val="20"/>
          <w:szCs w:val="20"/>
          <w:lang w:val="en-US"/>
        </w:rPr>
        <w:t xml:space="preserve"> HC 910-1/54</w:t>
      </w:r>
    </w:p>
  </w:footnote>
  <w:footnote w:id="18">
    <w:p w14:paraId="5FF74121" w14:textId="77777777" w:rsidR="00456D5A" w:rsidRPr="009E2426" w:rsidRDefault="00456D5A" w:rsidP="001270DA">
      <w:pPr>
        <w:pStyle w:val="FootnoteText"/>
        <w:ind w:left="1417"/>
        <w:rPr>
          <w:rFonts w:ascii="Arial" w:hAnsi="Arial" w:cs="Arial"/>
        </w:rPr>
      </w:pPr>
      <w:r w:rsidRPr="009E2426">
        <w:rPr>
          <w:rStyle w:val="FootnoteReference"/>
          <w:rFonts w:ascii="Arial" w:hAnsi="Arial" w:cs="Arial"/>
        </w:rPr>
        <w:footnoteRef/>
      </w:r>
      <w:r w:rsidRPr="009E2426">
        <w:rPr>
          <w:rFonts w:ascii="Arial" w:hAnsi="Arial" w:cs="Arial"/>
        </w:rPr>
        <w:t xml:space="preserve"> B Bowling &amp; C Phillips,  “Disproportionate and Discriminatory: Reviewing the Evidence on Police Stop and Search” (2007) 70 MLR 936  </w:t>
      </w:r>
    </w:p>
  </w:footnote>
  <w:footnote w:id="19">
    <w:p w14:paraId="2B8A7D22" w14:textId="77777777" w:rsidR="00456D5A" w:rsidRPr="006713EC" w:rsidRDefault="00456D5A" w:rsidP="006713EC">
      <w:pPr>
        <w:pStyle w:val="FootnoteText"/>
        <w:ind w:left="1417"/>
        <w:rPr>
          <w:rFonts w:ascii="Arial" w:hAnsi="Arial" w:cs="Arial"/>
        </w:rPr>
      </w:pPr>
      <w:r w:rsidRPr="006713EC">
        <w:rPr>
          <w:rStyle w:val="FootnoteReference"/>
          <w:rFonts w:ascii="Arial" w:hAnsi="Arial" w:cs="Arial"/>
        </w:rPr>
        <w:footnoteRef/>
      </w:r>
      <w:r w:rsidRPr="006713EC">
        <w:rPr>
          <w:rFonts w:ascii="Arial" w:hAnsi="Arial" w:cs="Arial"/>
        </w:rPr>
        <w:t xml:space="preserve"> R. Stone, Textbook on Civil Liberties and Human Rights (6th edition, Oxford University Press, Oxford: 2006)</w:t>
      </w:r>
    </w:p>
  </w:footnote>
  <w:footnote w:id="20">
    <w:p w14:paraId="7AEF5BA3" w14:textId="77777777" w:rsidR="00456D5A" w:rsidRPr="009E2426" w:rsidRDefault="00456D5A" w:rsidP="001270DA">
      <w:pPr>
        <w:pStyle w:val="FootnoteText"/>
        <w:ind w:left="1417"/>
        <w:rPr>
          <w:rFonts w:ascii="Arial" w:hAnsi="Arial" w:cs="Arial"/>
          <w:lang w:val="en-US"/>
        </w:rPr>
      </w:pPr>
      <w:r w:rsidRPr="009E2426">
        <w:rPr>
          <w:rStyle w:val="FootnoteReference"/>
          <w:rFonts w:ascii="Arial" w:hAnsi="Arial" w:cs="Arial"/>
        </w:rPr>
        <w:footnoteRef/>
      </w:r>
      <w:r w:rsidRPr="009E2426">
        <w:rPr>
          <w:rFonts w:ascii="Arial" w:hAnsi="Arial" w:cs="Arial"/>
        </w:rPr>
        <w:t xml:space="preserve"> B Bowling &amp; C Phillips,  “Disproportionate and Discriminatory: Reviewing the Evidence on Police Stop and Search” (2007) 70 MLR 936  </w:t>
      </w:r>
    </w:p>
  </w:footnote>
  <w:footnote w:id="21">
    <w:p w14:paraId="4B9B77B2" w14:textId="77777777" w:rsidR="00456D5A" w:rsidRPr="009E2426" w:rsidRDefault="00456D5A" w:rsidP="001270DA">
      <w:pPr>
        <w:pStyle w:val="FootnoteText"/>
        <w:ind w:left="1417"/>
        <w:rPr>
          <w:rFonts w:ascii="Arial" w:hAnsi="Arial" w:cs="Arial"/>
          <w:lang w:val="en-US"/>
        </w:rPr>
      </w:pPr>
      <w:r w:rsidRPr="009E2426">
        <w:rPr>
          <w:rStyle w:val="FootnoteReference"/>
          <w:rFonts w:ascii="Arial" w:hAnsi="Arial" w:cs="Arial"/>
        </w:rPr>
        <w:footnoteRef/>
      </w:r>
      <w:r w:rsidRPr="009E2426">
        <w:rPr>
          <w:rFonts w:ascii="Arial" w:hAnsi="Arial" w:cs="Arial"/>
        </w:rPr>
        <w:t xml:space="preserve"> </w:t>
      </w:r>
      <w:r>
        <w:rPr>
          <w:rFonts w:ascii="Arial" w:hAnsi="Arial" w:cs="Arial"/>
        </w:rPr>
        <w:t>Police Act 1996, s 89(2), setting out these types of offences might result in £1,000 fine and/or one month of imprisonment</w:t>
      </w:r>
    </w:p>
  </w:footnote>
  <w:footnote w:id="22">
    <w:p w14:paraId="264BCEB1" w14:textId="77777777" w:rsidR="00456D5A" w:rsidRPr="009E2426" w:rsidRDefault="00456D5A" w:rsidP="001270DA">
      <w:pPr>
        <w:pStyle w:val="FootnoteText"/>
        <w:ind w:left="1417"/>
        <w:rPr>
          <w:rFonts w:ascii="Arial" w:hAnsi="Arial" w:cs="Arial"/>
          <w:lang w:val="en-US"/>
        </w:rPr>
      </w:pPr>
      <w:r w:rsidRPr="009E2426">
        <w:rPr>
          <w:rStyle w:val="FootnoteReference"/>
          <w:rFonts w:ascii="Arial" w:hAnsi="Arial" w:cs="Arial"/>
        </w:rPr>
        <w:footnoteRef/>
      </w:r>
      <w:r w:rsidRPr="009E2426">
        <w:rPr>
          <w:rFonts w:ascii="Arial" w:hAnsi="Arial" w:cs="Arial"/>
        </w:rPr>
        <w:t xml:space="preserve"> C Warbrick “The European Response to Terrorism in an Age of Human Rights” (2004) 15(5) Eur J Int Law 989</w:t>
      </w:r>
    </w:p>
  </w:footnote>
  <w:footnote w:id="23">
    <w:p w14:paraId="45452CC6" w14:textId="77777777" w:rsidR="00456D5A" w:rsidRPr="009E2426" w:rsidRDefault="00456D5A" w:rsidP="001270DA">
      <w:pPr>
        <w:pStyle w:val="FootnoteText"/>
        <w:ind w:left="1417"/>
        <w:rPr>
          <w:rFonts w:ascii="Arial" w:hAnsi="Arial" w:cs="Arial"/>
          <w:lang w:val="en-US"/>
        </w:rPr>
      </w:pPr>
      <w:r w:rsidRPr="009E2426">
        <w:rPr>
          <w:rStyle w:val="FootnoteReference"/>
          <w:rFonts w:ascii="Arial" w:hAnsi="Arial" w:cs="Arial"/>
        </w:rPr>
        <w:footnoteRef/>
      </w:r>
      <w:r w:rsidRPr="009E2426">
        <w:rPr>
          <w:rFonts w:ascii="Arial" w:hAnsi="Arial" w:cs="Arial"/>
        </w:rPr>
        <w:t xml:space="preserve"> Ibid</w:t>
      </w:r>
    </w:p>
  </w:footnote>
  <w:footnote w:id="24">
    <w:p w14:paraId="09D384EB" w14:textId="77777777" w:rsidR="00456D5A" w:rsidRPr="009E2426" w:rsidRDefault="00456D5A" w:rsidP="0066709E">
      <w:pPr>
        <w:pStyle w:val="FootnoteText"/>
        <w:ind w:left="1417"/>
        <w:rPr>
          <w:rFonts w:ascii="Arial" w:hAnsi="Arial" w:cs="Arial"/>
          <w:lang w:val="en-US"/>
        </w:rPr>
      </w:pPr>
      <w:r w:rsidRPr="009E2426">
        <w:rPr>
          <w:rStyle w:val="FootnoteReference"/>
          <w:rFonts w:ascii="Arial" w:hAnsi="Arial" w:cs="Arial"/>
        </w:rPr>
        <w:footnoteRef/>
      </w:r>
      <w:r w:rsidRPr="009E2426">
        <w:rPr>
          <w:rFonts w:ascii="Arial" w:hAnsi="Arial" w:cs="Arial"/>
        </w:rPr>
        <w:t xml:space="preserve"> Human Rights Act 1998</w:t>
      </w:r>
    </w:p>
  </w:footnote>
  <w:footnote w:id="25">
    <w:p w14:paraId="129EEECF" w14:textId="77777777" w:rsidR="00456D5A" w:rsidRPr="009E2426" w:rsidRDefault="00456D5A" w:rsidP="001270DA">
      <w:pPr>
        <w:pStyle w:val="FootnoteText"/>
        <w:ind w:left="1417"/>
        <w:rPr>
          <w:rFonts w:ascii="Arial" w:hAnsi="Arial" w:cs="Arial"/>
          <w:lang w:val="en-US"/>
        </w:rPr>
      </w:pPr>
      <w:r w:rsidRPr="009E2426">
        <w:rPr>
          <w:rStyle w:val="FootnoteReference"/>
          <w:rFonts w:ascii="Arial" w:hAnsi="Arial" w:cs="Arial"/>
        </w:rPr>
        <w:footnoteRef/>
      </w:r>
      <w:r w:rsidRPr="009E2426">
        <w:rPr>
          <w:rFonts w:ascii="Arial" w:hAnsi="Arial" w:cs="Arial"/>
        </w:rPr>
        <w:t xml:space="preserve"> D Feldman, “Human rights, terrorism and risk: the roles of politicians and judges” (2006) Public Law 364</w:t>
      </w:r>
    </w:p>
  </w:footnote>
  <w:footnote w:id="26">
    <w:p w14:paraId="763C40F4" w14:textId="77777777" w:rsidR="00456D5A" w:rsidRPr="009E2426" w:rsidRDefault="00456D5A" w:rsidP="001270DA">
      <w:pPr>
        <w:pStyle w:val="FootnoteText"/>
        <w:ind w:left="1417"/>
        <w:rPr>
          <w:rFonts w:ascii="Arial" w:hAnsi="Arial" w:cs="Arial"/>
          <w:lang w:val="en-US"/>
        </w:rPr>
      </w:pPr>
      <w:r w:rsidRPr="009E2426">
        <w:rPr>
          <w:rStyle w:val="FootnoteReference"/>
          <w:rFonts w:ascii="Arial" w:hAnsi="Arial" w:cs="Arial"/>
        </w:rPr>
        <w:footnoteRef/>
      </w:r>
      <w:r w:rsidRPr="009E2426">
        <w:rPr>
          <w:rFonts w:ascii="Arial" w:hAnsi="Arial" w:cs="Arial"/>
        </w:rPr>
        <w:t xml:space="preserve"> Secretary of State for the Home Department v Rehman [2001] UKHL 47</w:t>
      </w:r>
      <w:r>
        <w:rPr>
          <w:rFonts w:ascii="Arial" w:hAnsi="Arial" w:cs="Arial"/>
        </w:rPr>
        <w:t xml:space="preserve"> [para 50]</w:t>
      </w:r>
    </w:p>
  </w:footnote>
  <w:footnote w:id="27">
    <w:p w14:paraId="0094D4F8" w14:textId="77777777" w:rsidR="00456D5A" w:rsidRPr="009E2426" w:rsidRDefault="00456D5A" w:rsidP="001270DA">
      <w:pPr>
        <w:pStyle w:val="FootnoteText"/>
        <w:ind w:left="1417"/>
        <w:rPr>
          <w:rFonts w:ascii="Arial" w:hAnsi="Arial" w:cs="Arial"/>
          <w:lang w:val="en-US"/>
        </w:rPr>
      </w:pPr>
      <w:r w:rsidRPr="009E2426">
        <w:rPr>
          <w:rStyle w:val="FootnoteReference"/>
          <w:rFonts w:ascii="Arial" w:hAnsi="Arial" w:cs="Arial"/>
        </w:rPr>
        <w:footnoteRef/>
      </w:r>
      <w:r w:rsidRPr="009E2426">
        <w:rPr>
          <w:rFonts w:ascii="Arial" w:hAnsi="Arial" w:cs="Arial"/>
        </w:rPr>
        <w:t xml:space="preserve"> D Feldman, “Human rights, terrorism and risk: the roles of politicians and judges” (2006) Public Law 364</w:t>
      </w:r>
    </w:p>
  </w:footnote>
  <w:footnote w:id="28">
    <w:p w14:paraId="68BAD92D" w14:textId="77777777" w:rsidR="00456D5A" w:rsidRPr="00566509" w:rsidRDefault="00456D5A" w:rsidP="001270DA">
      <w:pPr>
        <w:pStyle w:val="FootnoteText"/>
        <w:ind w:left="1417"/>
        <w:rPr>
          <w:lang w:val="en-US"/>
        </w:rPr>
      </w:pPr>
      <w:r w:rsidRPr="009E2426">
        <w:rPr>
          <w:rStyle w:val="FootnoteReference"/>
          <w:rFonts w:ascii="Arial" w:hAnsi="Arial" w:cs="Arial"/>
        </w:rPr>
        <w:footnoteRef/>
      </w:r>
      <w:r w:rsidRPr="009E2426">
        <w:rPr>
          <w:rFonts w:ascii="Arial" w:hAnsi="Arial" w:cs="Arial"/>
        </w:rPr>
        <w:t xml:space="preserve">  Ibid</w:t>
      </w:r>
    </w:p>
  </w:footnote>
  <w:footnote w:id="29">
    <w:p w14:paraId="632A7E32" w14:textId="77777777" w:rsidR="00456D5A" w:rsidRPr="00A11900" w:rsidRDefault="00456D5A" w:rsidP="005360EF">
      <w:pPr>
        <w:pStyle w:val="FootnoteText"/>
        <w:ind w:left="1417"/>
        <w:rPr>
          <w:rFonts w:ascii="Arial" w:hAnsi="Arial" w:cs="Arial"/>
        </w:rPr>
      </w:pPr>
      <w:r w:rsidRPr="00A11900">
        <w:rPr>
          <w:rStyle w:val="FootnoteReference"/>
          <w:rFonts w:ascii="Arial" w:hAnsi="Arial" w:cs="Arial"/>
        </w:rPr>
        <w:footnoteRef/>
      </w:r>
      <w:r w:rsidRPr="00A11900">
        <w:rPr>
          <w:rFonts w:ascii="Arial" w:hAnsi="Arial" w:cs="Arial"/>
        </w:rPr>
        <w:t xml:space="preserve"> </w:t>
      </w:r>
      <w:r>
        <w:rPr>
          <w:rFonts w:ascii="Arial" w:hAnsi="Arial" w:cs="Arial"/>
        </w:rPr>
        <w:t>See footnote 25</w:t>
      </w:r>
    </w:p>
  </w:footnote>
  <w:footnote w:id="30">
    <w:p w14:paraId="70382A37" w14:textId="77777777" w:rsidR="00456D5A" w:rsidRPr="00A11900" w:rsidRDefault="00456D5A" w:rsidP="005360EF">
      <w:pPr>
        <w:pStyle w:val="FootnoteText"/>
        <w:ind w:left="1417"/>
        <w:rPr>
          <w:rFonts w:ascii="Arial" w:hAnsi="Arial" w:cs="Arial"/>
          <w:lang w:val="en-US"/>
        </w:rPr>
      </w:pPr>
      <w:r w:rsidRPr="00A11900">
        <w:rPr>
          <w:rStyle w:val="FootnoteReference"/>
          <w:rFonts w:ascii="Arial" w:hAnsi="Arial" w:cs="Arial"/>
        </w:rPr>
        <w:footnoteRef/>
      </w:r>
      <w:r w:rsidRPr="00A11900">
        <w:rPr>
          <w:rFonts w:ascii="Arial" w:hAnsi="Arial" w:cs="Arial"/>
        </w:rPr>
        <w:t xml:space="preserve">R (on the application of Gillan and another) v. Commissioner of Police for the Metropolis [2006] UKHL 12 </w:t>
      </w:r>
      <w:r w:rsidRPr="00A11900">
        <w:rPr>
          <w:rFonts w:ascii="Arial" w:hAnsi="Arial" w:cs="Arial"/>
          <w:lang w:val="en-US"/>
        </w:rPr>
        <w:t>para 13</w:t>
      </w:r>
    </w:p>
  </w:footnote>
  <w:footnote w:id="31">
    <w:p w14:paraId="35B868F5" w14:textId="77777777" w:rsidR="00456D5A" w:rsidRPr="00A11900" w:rsidRDefault="00456D5A" w:rsidP="005360EF">
      <w:pPr>
        <w:pStyle w:val="FootnoteText"/>
        <w:ind w:left="1417"/>
        <w:rPr>
          <w:rFonts w:ascii="Arial" w:hAnsi="Arial" w:cs="Arial"/>
          <w:lang w:val="en-US"/>
        </w:rPr>
      </w:pPr>
      <w:r w:rsidRPr="00A11900">
        <w:rPr>
          <w:rStyle w:val="FootnoteReference"/>
          <w:rFonts w:ascii="Arial" w:hAnsi="Arial" w:cs="Arial"/>
        </w:rPr>
        <w:footnoteRef/>
      </w:r>
      <w:r w:rsidRPr="00A11900">
        <w:rPr>
          <w:rFonts w:ascii="Arial" w:hAnsi="Arial" w:cs="Arial"/>
        </w:rPr>
        <w:t xml:space="preserve"> R (on the application of Gillan and another) v. Commissioner of Police for the Metropolis [2006] UKHL 12. The Lords avoided mentioning that s. 44 to 47 might raise an issue of discrimination, even though clarification on this issue was needed. </w:t>
      </w:r>
    </w:p>
  </w:footnote>
  <w:footnote w:id="32">
    <w:p w14:paraId="7E9F44E9" w14:textId="77777777" w:rsidR="00456D5A" w:rsidRPr="00A11900" w:rsidRDefault="00456D5A" w:rsidP="005360EF">
      <w:pPr>
        <w:pStyle w:val="FootnoteText"/>
        <w:ind w:left="1417"/>
        <w:rPr>
          <w:rFonts w:ascii="Arial" w:hAnsi="Arial" w:cs="Arial"/>
          <w:lang w:val="en-US"/>
        </w:rPr>
      </w:pPr>
      <w:r w:rsidRPr="00A11900">
        <w:rPr>
          <w:rStyle w:val="FootnoteReference"/>
          <w:rFonts w:ascii="Arial" w:hAnsi="Arial" w:cs="Arial"/>
        </w:rPr>
        <w:footnoteRef/>
      </w:r>
      <w:r w:rsidRPr="00A11900">
        <w:rPr>
          <w:rFonts w:ascii="Arial" w:hAnsi="Arial" w:cs="Arial"/>
        </w:rPr>
        <w:t xml:space="preserve"> R (on the application of Roberts) v The Commissioner of the Metropolitan Police [2012] EWHC 1977 (Admin)</w:t>
      </w:r>
    </w:p>
  </w:footnote>
  <w:footnote w:id="33">
    <w:p w14:paraId="3F238A8B" w14:textId="77777777" w:rsidR="00456D5A" w:rsidRPr="00A11900" w:rsidRDefault="00456D5A" w:rsidP="005360EF">
      <w:pPr>
        <w:pStyle w:val="FootnoteText"/>
        <w:ind w:left="1417"/>
        <w:rPr>
          <w:rFonts w:ascii="Arial" w:hAnsi="Arial" w:cs="Arial"/>
          <w:lang w:val="en-US"/>
        </w:rPr>
      </w:pPr>
      <w:r w:rsidRPr="00A11900">
        <w:rPr>
          <w:rStyle w:val="FootnoteReference"/>
          <w:rFonts w:ascii="Arial" w:hAnsi="Arial" w:cs="Arial"/>
        </w:rPr>
        <w:footnoteRef/>
      </w:r>
      <w:r w:rsidRPr="00A11900">
        <w:rPr>
          <w:rFonts w:ascii="Arial" w:hAnsi="Arial" w:cs="Arial"/>
        </w:rPr>
        <w:t xml:space="preserve"> R (on the application of Roberts) v Commissioner of Police of the Metropolis and others [2014] All ER (D) 58</w:t>
      </w:r>
    </w:p>
  </w:footnote>
  <w:footnote w:id="34">
    <w:p w14:paraId="5186BF8D" w14:textId="77777777" w:rsidR="00456D5A" w:rsidRPr="00A11900" w:rsidRDefault="00456D5A" w:rsidP="005360EF">
      <w:pPr>
        <w:pStyle w:val="FootnoteText"/>
        <w:ind w:left="1417"/>
        <w:rPr>
          <w:rFonts w:ascii="Arial" w:hAnsi="Arial" w:cs="Arial"/>
          <w:lang w:val="en-US"/>
        </w:rPr>
      </w:pPr>
      <w:r w:rsidRPr="00A11900">
        <w:rPr>
          <w:rStyle w:val="FootnoteReference"/>
          <w:rFonts w:ascii="Arial" w:hAnsi="Arial" w:cs="Arial"/>
        </w:rPr>
        <w:footnoteRef/>
      </w:r>
      <w:r w:rsidRPr="00A11900">
        <w:rPr>
          <w:rFonts w:ascii="Arial" w:hAnsi="Arial" w:cs="Arial"/>
        </w:rPr>
        <w:t xml:space="preserve"> Criminal Justice and Public Order Act 1994 (s. 60), which does not require any reasonable suspicion</w:t>
      </w:r>
    </w:p>
  </w:footnote>
  <w:footnote w:id="35">
    <w:p w14:paraId="396F61E2" w14:textId="77777777" w:rsidR="00456D5A" w:rsidRPr="00A11900" w:rsidRDefault="00456D5A" w:rsidP="005360EF">
      <w:pPr>
        <w:pStyle w:val="FootnoteText"/>
        <w:ind w:left="1417"/>
        <w:rPr>
          <w:rFonts w:ascii="Arial" w:hAnsi="Arial" w:cs="Arial"/>
          <w:lang w:val="en-US"/>
        </w:rPr>
      </w:pPr>
      <w:r w:rsidRPr="00A11900">
        <w:rPr>
          <w:rStyle w:val="FootnoteReference"/>
          <w:rFonts w:ascii="Arial" w:hAnsi="Arial" w:cs="Arial"/>
        </w:rPr>
        <w:footnoteRef/>
      </w:r>
      <w:r w:rsidRPr="00A11900">
        <w:rPr>
          <w:rFonts w:ascii="Arial" w:hAnsi="Arial" w:cs="Arial"/>
        </w:rPr>
        <w:t xml:space="preserve"> European Convention on Human Rights 1950: </w:t>
      </w:r>
      <w:r w:rsidRPr="00A11900">
        <w:rPr>
          <w:rFonts w:ascii="Arial" w:hAnsi="Arial" w:cs="Arial"/>
          <w:lang w:val="en-US"/>
        </w:rPr>
        <w:t>Right to Liberty and Security under Article 5 and Right to Private and Family Life under Article 8 of the ECHR</w:t>
      </w:r>
    </w:p>
  </w:footnote>
  <w:footnote w:id="36">
    <w:p w14:paraId="010AF6E5" w14:textId="77777777" w:rsidR="00456D5A" w:rsidRPr="00A11900" w:rsidRDefault="00456D5A" w:rsidP="005360EF">
      <w:pPr>
        <w:pStyle w:val="FootnoteText"/>
        <w:ind w:left="1417"/>
        <w:rPr>
          <w:rFonts w:ascii="Arial" w:hAnsi="Arial" w:cs="Arial"/>
          <w:lang w:val="en-US"/>
        </w:rPr>
      </w:pPr>
      <w:r w:rsidRPr="00A11900">
        <w:rPr>
          <w:rStyle w:val="FootnoteReference"/>
          <w:rFonts w:ascii="Arial" w:hAnsi="Arial" w:cs="Arial"/>
        </w:rPr>
        <w:footnoteRef/>
      </w:r>
      <w:r w:rsidRPr="00A11900">
        <w:rPr>
          <w:rFonts w:ascii="Arial" w:hAnsi="Arial" w:cs="Arial"/>
        </w:rPr>
        <w:t xml:space="preserve"> R (on the application of Roberts) v Commissioner of Police of the Metropolis and others [2014] All ER (D) 58. The Court of Appeal, however, claimed that the interference with Article 8 was legitimate under Article 8(2)</w:t>
      </w:r>
    </w:p>
  </w:footnote>
  <w:footnote w:id="37">
    <w:p w14:paraId="1CAE4FDD" w14:textId="77777777" w:rsidR="00456D5A" w:rsidRPr="00A11900" w:rsidRDefault="00456D5A" w:rsidP="005360EF">
      <w:pPr>
        <w:pStyle w:val="FootnoteText"/>
        <w:ind w:left="1417"/>
        <w:rPr>
          <w:rFonts w:ascii="Arial" w:hAnsi="Arial" w:cs="Arial"/>
          <w:lang w:val="en-US"/>
        </w:rPr>
      </w:pPr>
      <w:r w:rsidRPr="00A11900">
        <w:rPr>
          <w:rStyle w:val="FootnoteReference"/>
          <w:rFonts w:ascii="Arial" w:hAnsi="Arial" w:cs="Arial"/>
        </w:rPr>
        <w:footnoteRef/>
      </w:r>
      <w:r w:rsidRPr="00A11900">
        <w:rPr>
          <w:rFonts w:ascii="Arial" w:hAnsi="Arial" w:cs="Arial"/>
        </w:rPr>
        <w:t xml:space="preserve"> R (on the application of Hicks) v Metropolitan Police Comr [2012] EWHC 1947 (Admin), [2012] All ER (D) 232 (Jul)</w:t>
      </w:r>
    </w:p>
  </w:footnote>
  <w:footnote w:id="38">
    <w:p w14:paraId="663A8C41" w14:textId="77777777" w:rsidR="00456D5A" w:rsidRPr="00A11900" w:rsidRDefault="00456D5A" w:rsidP="005360EF">
      <w:pPr>
        <w:pStyle w:val="FootnoteText"/>
        <w:ind w:left="1417"/>
        <w:rPr>
          <w:rFonts w:ascii="Arial" w:hAnsi="Arial" w:cs="Arial"/>
          <w:lang w:val="en-US"/>
        </w:rPr>
      </w:pPr>
      <w:r w:rsidRPr="00A11900">
        <w:rPr>
          <w:rStyle w:val="FootnoteReference"/>
          <w:rFonts w:ascii="Arial" w:hAnsi="Arial" w:cs="Arial"/>
        </w:rPr>
        <w:footnoteRef/>
      </w:r>
      <w:r w:rsidRPr="00A11900">
        <w:rPr>
          <w:rFonts w:ascii="Arial" w:hAnsi="Arial" w:cs="Arial"/>
        </w:rPr>
        <w:t xml:space="preserve"> </w:t>
      </w:r>
      <w:r w:rsidRPr="00A11900">
        <w:rPr>
          <w:rFonts w:ascii="Arial" w:hAnsi="Arial" w:cs="Arial"/>
          <w:lang w:val="en-US"/>
        </w:rPr>
        <w:t>CJPOA 1994</w:t>
      </w:r>
    </w:p>
  </w:footnote>
  <w:footnote w:id="39">
    <w:p w14:paraId="6F237D14" w14:textId="77777777" w:rsidR="00456D5A" w:rsidRPr="00A11900" w:rsidRDefault="00456D5A" w:rsidP="005360EF">
      <w:pPr>
        <w:pStyle w:val="FootnoteText"/>
        <w:ind w:left="1417"/>
        <w:rPr>
          <w:rFonts w:ascii="Arial" w:hAnsi="Arial" w:cs="Arial"/>
          <w:lang w:val="en-US"/>
        </w:rPr>
      </w:pPr>
      <w:r w:rsidRPr="00A11900">
        <w:rPr>
          <w:rStyle w:val="FootnoteReference"/>
          <w:rFonts w:ascii="Arial" w:hAnsi="Arial" w:cs="Arial"/>
        </w:rPr>
        <w:footnoteRef/>
      </w:r>
      <w:r w:rsidRPr="00A11900">
        <w:rPr>
          <w:rFonts w:ascii="Arial" w:hAnsi="Arial" w:cs="Arial"/>
        </w:rPr>
        <w:t xml:space="preserve"> Halsbury’s Laws of England (5th Edition, 2013) vol 88A, para 4(11) &lt;LexisLibrary&gt; accessed 12 April 2014</w:t>
      </w:r>
    </w:p>
  </w:footnote>
  <w:footnote w:id="40">
    <w:p w14:paraId="3F825A28" w14:textId="77777777" w:rsidR="00456D5A" w:rsidRPr="00566509" w:rsidRDefault="00456D5A" w:rsidP="005360EF">
      <w:pPr>
        <w:pStyle w:val="FootnoteText"/>
        <w:ind w:left="1417"/>
        <w:rPr>
          <w:lang w:val="en-US"/>
        </w:rPr>
      </w:pPr>
      <w:r w:rsidRPr="00A11900">
        <w:rPr>
          <w:rStyle w:val="FootnoteReference"/>
          <w:rFonts w:ascii="Arial" w:hAnsi="Arial" w:cs="Arial"/>
        </w:rPr>
        <w:footnoteRef/>
      </w:r>
      <w:r w:rsidRPr="00A11900">
        <w:rPr>
          <w:rFonts w:ascii="Arial" w:hAnsi="Arial" w:cs="Arial"/>
        </w:rPr>
        <w:t xml:space="preserve"> European Convention on Human Rights 1950, 11</w:t>
      </w:r>
    </w:p>
  </w:footnote>
  <w:footnote w:id="41">
    <w:p w14:paraId="06C98DF8" w14:textId="77777777" w:rsidR="00456D5A" w:rsidRPr="00607641" w:rsidRDefault="00456D5A" w:rsidP="00607641">
      <w:pPr>
        <w:pStyle w:val="FootnoteText"/>
        <w:ind w:left="1417"/>
        <w:rPr>
          <w:rFonts w:ascii="Arial" w:hAnsi="Arial" w:cs="Arial"/>
          <w:lang w:val="en-US"/>
        </w:rPr>
      </w:pPr>
      <w:r w:rsidRPr="00607641">
        <w:rPr>
          <w:rStyle w:val="FootnoteReference"/>
          <w:rFonts w:ascii="Arial" w:hAnsi="Arial" w:cs="Arial"/>
        </w:rPr>
        <w:footnoteRef/>
      </w:r>
      <w:r w:rsidRPr="00607641">
        <w:rPr>
          <w:rFonts w:ascii="Arial" w:hAnsi="Arial" w:cs="Arial"/>
        </w:rPr>
        <w:t xml:space="preserve"> Gillan and Quinton v. The United Kingdom (Application no. 4158/05)</w:t>
      </w:r>
      <w:r>
        <w:rPr>
          <w:rFonts w:ascii="Arial" w:hAnsi="Arial" w:cs="Arial"/>
        </w:rPr>
        <w:t>, para 63</w:t>
      </w:r>
    </w:p>
  </w:footnote>
  <w:footnote w:id="42">
    <w:p w14:paraId="7D5829F9" w14:textId="77777777" w:rsidR="00456D5A" w:rsidRPr="00607641" w:rsidRDefault="00456D5A" w:rsidP="00607641">
      <w:pPr>
        <w:pStyle w:val="FootnoteText"/>
        <w:ind w:left="1417"/>
        <w:rPr>
          <w:rFonts w:ascii="Arial" w:hAnsi="Arial" w:cs="Arial"/>
        </w:rPr>
      </w:pPr>
      <w:r w:rsidRPr="00607641">
        <w:rPr>
          <w:rStyle w:val="FootnoteReference"/>
          <w:rFonts w:ascii="Arial" w:hAnsi="Arial" w:cs="Arial"/>
        </w:rPr>
        <w:footnoteRef/>
      </w:r>
      <w:r w:rsidRPr="00607641">
        <w:rPr>
          <w:rFonts w:ascii="Arial" w:hAnsi="Arial" w:cs="Arial"/>
        </w:rPr>
        <w:t xml:space="preserve"> Fitzgerald, M. (1999) Final Report into Stop and Search. London: Metropolitan Police Service.</w:t>
      </w:r>
    </w:p>
  </w:footnote>
  <w:footnote w:id="43">
    <w:p w14:paraId="3A4F2F37" w14:textId="77777777" w:rsidR="00456D5A" w:rsidRPr="00607641" w:rsidRDefault="00456D5A" w:rsidP="00607641">
      <w:pPr>
        <w:pStyle w:val="FootnoteText"/>
        <w:ind w:left="1417"/>
        <w:rPr>
          <w:rFonts w:ascii="Arial" w:hAnsi="Arial" w:cs="Arial"/>
          <w:lang w:val="en-US"/>
        </w:rPr>
      </w:pPr>
      <w:r w:rsidRPr="00607641">
        <w:rPr>
          <w:rStyle w:val="FootnoteReference"/>
          <w:rFonts w:ascii="Arial" w:hAnsi="Arial" w:cs="Arial"/>
        </w:rPr>
        <w:footnoteRef/>
      </w:r>
      <w:r w:rsidRPr="00607641">
        <w:rPr>
          <w:rFonts w:ascii="Arial" w:hAnsi="Arial" w:cs="Arial"/>
        </w:rPr>
        <w:t xml:space="preserve"> B Bowling &amp; C Phillips,  “Disproportionate and Discriminatory: Reviewing the Evidence on Police Stop and Search” (2007) 70 MLR 936  </w:t>
      </w:r>
    </w:p>
  </w:footnote>
  <w:footnote w:id="44">
    <w:p w14:paraId="0AD33144" w14:textId="77777777" w:rsidR="00456D5A" w:rsidRPr="00607641" w:rsidRDefault="00456D5A" w:rsidP="00607641">
      <w:pPr>
        <w:pStyle w:val="FootnoteText"/>
        <w:ind w:left="1417"/>
        <w:rPr>
          <w:rFonts w:ascii="Arial" w:hAnsi="Arial" w:cs="Arial"/>
        </w:rPr>
      </w:pPr>
      <w:r w:rsidRPr="00607641">
        <w:rPr>
          <w:rStyle w:val="FootnoteReference"/>
          <w:rFonts w:ascii="Arial" w:hAnsi="Arial" w:cs="Arial"/>
        </w:rPr>
        <w:footnoteRef/>
      </w:r>
      <w:r w:rsidRPr="00607641">
        <w:rPr>
          <w:rFonts w:ascii="Arial" w:hAnsi="Arial" w:cs="Arial"/>
        </w:rPr>
        <w:t xml:space="preserve"> K Reid, “Race Issues and Stop and Search: Looking behind the Statistics” (2009) 73(2) The Journal of Criminal Law 165</w:t>
      </w:r>
    </w:p>
  </w:footnote>
  <w:footnote w:id="45">
    <w:p w14:paraId="6315C0D6" w14:textId="77777777" w:rsidR="00456D5A" w:rsidRPr="00607641" w:rsidRDefault="00456D5A" w:rsidP="00607641">
      <w:pPr>
        <w:pStyle w:val="FootnoteText"/>
        <w:ind w:left="1417"/>
        <w:rPr>
          <w:rFonts w:ascii="Arial" w:hAnsi="Arial" w:cs="Arial"/>
        </w:rPr>
      </w:pPr>
      <w:r w:rsidRPr="00607641">
        <w:rPr>
          <w:rStyle w:val="FootnoteReference"/>
          <w:rFonts w:ascii="Arial" w:hAnsi="Arial" w:cs="Arial"/>
        </w:rPr>
        <w:footnoteRef/>
      </w:r>
      <w:r w:rsidRPr="00607641">
        <w:rPr>
          <w:rFonts w:ascii="Arial" w:hAnsi="Arial" w:cs="Arial"/>
        </w:rPr>
        <w:t>Chairman of the Muslim Safety Forum</w:t>
      </w:r>
    </w:p>
  </w:footnote>
  <w:footnote w:id="46">
    <w:p w14:paraId="5493C85A" w14:textId="77777777" w:rsidR="00456D5A" w:rsidRPr="00607641" w:rsidRDefault="00456D5A" w:rsidP="00607641">
      <w:pPr>
        <w:pStyle w:val="FootnoteText"/>
        <w:ind w:left="1417"/>
        <w:rPr>
          <w:rFonts w:ascii="Arial" w:hAnsi="Arial" w:cs="Arial"/>
          <w:lang w:val="en-US"/>
        </w:rPr>
      </w:pPr>
      <w:r w:rsidRPr="00607641">
        <w:rPr>
          <w:rStyle w:val="FootnoteReference"/>
          <w:rFonts w:ascii="Arial" w:hAnsi="Arial" w:cs="Arial"/>
        </w:rPr>
        <w:footnoteRef/>
      </w:r>
      <w:r w:rsidRPr="00607641">
        <w:rPr>
          <w:rFonts w:ascii="Arial" w:hAnsi="Arial" w:cs="Arial"/>
        </w:rPr>
        <w:t xml:space="preserve"> Vikram Dodd, “Asian men targeted in stop and search” The Guardian (17 August 2005)</w:t>
      </w:r>
    </w:p>
  </w:footnote>
  <w:footnote w:id="47">
    <w:p w14:paraId="447A1324" w14:textId="77777777" w:rsidR="00456D5A" w:rsidRPr="00607641" w:rsidRDefault="00456D5A" w:rsidP="00607641">
      <w:pPr>
        <w:pStyle w:val="FootnoteText"/>
        <w:ind w:left="1417"/>
        <w:rPr>
          <w:rFonts w:ascii="Arial" w:hAnsi="Arial" w:cs="Arial"/>
          <w:lang w:val="en-US"/>
        </w:rPr>
      </w:pPr>
      <w:r w:rsidRPr="00607641">
        <w:rPr>
          <w:rStyle w:val="FootnoteReference"/>
          <w:rFonts w:ascii="Arial" w:hAnsi="Arial" w:cs="Arial"/>
        </w:rPr>
        <w:footnoteRef/>
      </w:r>
      <w:r w:rsidRPr="00607641">
        <w:rPr>
          <w:rFonts w:ascii="Arial" w:hAnsi="Arial" w:cs="Arial"/>
        </w:rPr>
        <w:t xml:space="preserve"> D Ellis, “Stop and search: disproportionality, discretion and generalisations” 83(3) The Police Journal  199</w:t>
      </w:r>
    </w:p>
  </w:footnote>
  <w:footnote w:id="48">
    <w:p w14:paraId="1A3D1BE1" w14:textId="77777777" w:rsidR="00456D5A" w:rsidRPr="00607641" w:rsidRDefault="00456D5A" w:rsidP="00607641">
      <w:pPr>
        <w:pStyle w:val="FootnoteText"/>
        <w:ind w:left="1417"/>
        <w:rPr>
          <w:rFonts w:ascii="Arial" w:hAnsi="Arial" w:cs="Arial"/>
          <w:lang w:val="en-US"/>
        </w:rPr>
      </w:pPr>
      <w:r w:rsidRPr="00607641">
        <w:rPr>
          <w:rStyle w:val="FootnoteReference"/>
          <w:rFonts w:ascii="Arial" w:hAnsi="Arial" w:cs="Arial"/>
        </w:rPr>
        <w:footnoteRef/>
      </w:r>
      <w:r w:rsidRPr="00607641">
        <w:rPr>
          <w:rFonts w:ascii="Arial" w:hAnsi="Arial" w:cs="Arial"/>
        </w:rPr>
        <w:t xml:space="preserve"> Ibid</w:t>
      </w:r>
    </w:p>
  </w:footnote>
  <w:footnote w:id="49">
    <w:p w14:paraId="35634B60" w14:textId="77777777" w:rsidR="00456D5A" w:rsidRPr="00607641" w:rsidRDefault="00456D5A" w:rsidP="00607641">
      <w:pPr>
        <w:pStyle w:val="FootnoteText"/>
        <w:ind w:left="1417"/>
        <w:rPr>
          <w:rFonts w:ascii="Arial" w:hAnsi="Arial" w:cs="Arial"/>
        </w:rPr>
      </w:pPr>
      <w:r w:rsidRPr="00607641">
        <w:rPr>
          <w:rStyle w:val="FootnoteReference"/>
          <w:rFonts w:ascii="Arial" w:hAnsi="Arial" w:cs="Arial"/>
        </w:rPr>
        <w:footnoteRef/>
      </w:r>
      <w:r w:rsidRPr="00607641">
        <w:rPr>
          <w:rFonts w:ascii="Arial" w:hAnsi="Arial" w:cs="Arial"/>
        </w:rPr>
        <w:t xml:space="preserve"> D Ellis, “Stop and search: disproportionality, discretion and generalisations” 83(3) The Police Journal  199, Office for National Statistics</w:t>
      </w:r>
    </w:p>
  </w:footnote>
  <w:footnote w:id="50">
    <w:p w14:paraId="3D4F640A" w14:textId="77777777" w:rsidR="00456D5A" w:rsidRPr="00A11900" w:rsidRDefault="00456D5A" w:rsidP="00BA7F74">
      <w:pPr>
        <w:pStyle w:val="FootnoteText"/>
        <w:ind w:left="1417"/>
        <w:rPr>
          <w:rFonts w:ascii="Arial" w:hAnsi="Arial" w:cs="Arial"/>
        </w:rPr>
      </w:pPr>
      <w:r w:rsidRPr="00A11900">
        <w:rPr>
          <w:rStyle w:val="FootnoteReference"/>
          <w:rFonts w:ascii="Arial" w:hAnsi="Arial" w:cs="Arial"/>
        </w:rPr>
        <w:footnoteRef/>
      </w:r>
      <w:r w:rsidRPr="00A11900">
        <w:rPr>
          <w:rFonts w:ascii="Arial" w:hAnsi="Arial" w:cs="Arial"/>
        </w:rPr>
        <w:t xml:space="preserve"> D Ellis, “Stop and search: disproportionality, discretion and generalisations” 83(3) The Police Journal  199</w:t>
      </w:r>
    </w:p>
  </w:footnote>
  <w:footnote w:id="51">
    <w:p w14:paraId="29BD9605" w14:textId="77777777" w:rsidR="00456D5A" w:rsidRPr="00141E82" w:rsidRDefault="00456D5A" w:rsidP="00141E82">
      <w:pPr>
        <w:pStyle w:val="FootnoteText"/>
        <w:ind w:left="1417"/>
      </w:pPr>
      <w:r>
        <w:rPr>
          <w:rStyle w:val="FootnoteReference"/>
        </w:rPr>
        <w:footnoteRef/>
      </w:r>
      <w:r>
        <w:t xml:space="preserve"> </w:t>
      </w:r>
      <w:r w:rsidRPr="004F2284">
        <w:rPr>
          <w:rFonts w:ascii="Arial" w:hAnsi="Arial" w:cs="Arial"/>
        </w:rPr>
        <w:t xml:space="preserve">B Bowling &amp; C Phillips,  “Disproportionate and Discriminatory: Reviewing the Evidence on Police Stop and Search” (2007) 70 MLR 936  </w:t>
      </w:r>
    </w:p>
  </w:footnote>
  <w:footnote w:id="52">
    <w:p w14:paraId="6931151B" w14:textId="77777777" w:rsidR="00456D5A" w:rsidRPr="00A11900" w:rsidRDefault="00456D5A" w:rsidP="00BA7F74">
      <w:pPr>
        <w:pStyle w:val="FootnoteText"/>
        <w:ind w:left="1417"/>
        <w:rPr>
          <w:rFonts w:ascii="Arial" w:hAnsi="Arial" w:cs="Arial"/>
          <w:lang w:val="en-US"/>
        </w:rPr>
      </w:pPr>
      <w:r w:rsidRPr="00A11900">
        <w:rPr>
          <w:rStyle w:val="FootnoteReference"/>
          <w:rFonts w:ascii="Arial" w:hAnsi="Arial" w:cs="Arial"/>
        </w:rPr>
        <w:footnoteRef/>
      </w:r>
      <w:r w:rsidRPr="00A11900">
        <w:rPr>
          <w:rFonts w:ascii="Arial" w:hAnsi="Arial" w:cs="Arial"/>
        </w:rPr>
        <w:t xml:space="preserve"> </w:t>
      </w:r>
      <w:r w:rsidRPr="007F6170">
        <w:rPr>
          <w:rFonts w:ascii="Arial" w:hAnsi="Arial" w:cs="Arial"/>
        </w:rPr>
        <w:t>P. A. J. Waddington and others “In proportion: race, and police stop and search” (2004) 44 (6) British Journal of Criminology 889</w:t>
      </w:r>
    </w:p>
  </w:footnote>
  <w:footnote w:id="53">
    <w:p w14:paraId="1B039E1A" w14:textId="77777777" w:rsidR="00456D5A" w:rsidRPr="00A11900" w:rsidRDefault="00456D5A" w:rsidP="00BA7F74">
      <w:pPr>
        <w:pStyle w:val="FootnoteText"/>
        <w:ind w:left="1417"/>
        <w:rPr>
          <w:rFonts w:ascii="Arial" w:hAnsi="Arial" w:cs="Arial"/>
          <w:lang w:val="en-US"/>
        </w:rPr>
      </w:pPr>
      <w:r w:rsidRPr="00A11900">
        <w:rPr>
          <w:rStyle w:val="FootnoteReference"/>
          <w:rFonts w:ascii="Arial" w:hAnsi="Arial" w:cs="Arial"/>
        </w:rPr>
        <w:footnoteRef/>
      </w:r>
      <w:r w:rsidRPr="00A11900">
        <w:rPr>
          <w:rFonts w:ascii="Arial" w:hAnsi="Arial" w:cs="Arial"/>
        </w:rPr>
        <w:t xml:space="preserve"> Race Relations Act 1976, as amended in 2000</w:t>
      </w:r>
    </w:p>
  </w:footnote>
  <w:footnote w:id="54">
    <w:p w14:paraId="74D5177F" w14:textId="77777777" w:rsidR="00456D5A" w:rsidRPr="00A11900" w:rsidRDefault="00456D5A" w:rsidP="00BA7F74">
      <w:pPr>
        <w:pStyle w:val="FootnoteText"/>
        <w:ind w:left="1417"/>
        <w:rPr>
          <w:rFonts w:ascii="Arial" w:hAnsi="Arial" w:cs="Arial"/>
          <w:lang w:val="en-US"/>
        </w:rPr>
      </w:pPr>
      <w:r w:rsidRPr="00A11900">
        <w:rPr>
          <w:rStyle w:val="FootnoteReference"/>
          <w:rFonts w:ascii="Arial" w:hAnsi="Arial" w:cs="Arial"/>
        </w:rPr>
        <w:footnoteRef/>
      </w:r>
      <w:r w:rsidRPr="00A11900">
        <w:rPr>
          <w:rFonts w:ascii="Arial" w:hAnsi="Arial" w:cs="Arial"/>
        </w:rPr>
        <w:t xml:space="preserve"> Human Rights Act 1998, which incorporated a substantial number of the Articles under the ECHR 1950</w:t>
      </w:r>
    </w:p>
  </w:footnote>
  <w:footnote w:id="55">
    <w:p w14:paraId="2DF34AFD" w14:textId="77777777" w:rsidR="00456D5A" w:rsidRPr="00A11900" w:rsidRDefault="00456D5A" w:rsidP="00BA7F74">
      <w:pPr>
        <w:pStyle w:val="FootnoteText"/>
        <w:ind w:left="1417"/>
        <w:rPr>
          <w:rFonts w:ascii="Arial" w:hAnsi="Arial" w:cs="Arial"/>
        </w:rPr>
      </w:pPr>
      <w:r w:rsidRPr="00A11900">
        <w:rPr>
          <w:rStyle w:val="FootnoteReference"/>
          <w:rFonts w:ascii="Arial" w:hAnsi="Arial" w:cs="Arial"/>
        </w:rPr>
        <w:footnoteRef/>
      </w:r>
      <w:r w:rsidRPr="00A11900">
        <w:rPr>
          <w:rFonts w:ascii="Arial" w:hAnsi="Arial" w:cs="Arial"/>
        </w:rPr>
        <w:t xml:space="preserve"> </w:t>
      </w:r>
      <w:r w:rsidRPr="0091545E">
        <w:rPr>
          <w:rFonts w:ascii="Arial" w:hAnsi="Arial" w:cs="Arial"/>
        </w:rPr>
        <w:t>R (European Roma Rights Centre) v Immigration Officer at Prague Airport [2004] UKHL 55</w:t>
      </w:r>
      <w:r>
        <w:rPr>
          <w:rFonts w:ascii="Arial" w:hAnsi="Arial" w:cs="Arial"/>
        </w:rPr>
        <w:t xml:space="preserve">, </w:t>
      </w:r>
      <w:r w:rsidRPr="00A11900">
        <w:rPr>
          <w:rFonts w:ascii="Arial" w:hAnsi="Arial" w:cs="Arial"/>
        </w:rPr>
        <w:t>Baroness Hale</w:t>
      </w:r>
    </w:p>
  </w:footnote>
  <w:footnote w:id="56">
    <w:p w14:paraId="69909C75" w14:textId="77777777" w:rsidR="00456D5A" w:rsidRPr="00E419FE" w:rsidRDefault="00456D5A" w:rsidP="00E419FE">
      <w:pPr>
        <w:pStyle w:val="FootnoteText"/>
        <w:ind w:left="1417"/>
        <w:rPr>
          <w:rFonts w:ascii="Arial" w:hAnsi="Arial" w:cs="Arial"/>
        </w:rPr>
      </w:pPr>
      <w:r w:rsidRPr="00E419FE">
        <w:rPr>
          <w:rStyle w:val="FootnoteReference"/>
          <w:rFonts w:ascii="Arial" w:hAnsi="Arial" w:cs="Arial"/>
        </w:rPr>
        <w:footnoteRef/>
      </w:r>
      <w:r w:rsidRPr="00E419FE">
        <w:rPr>
          <w:rFonts w:ascii="Arial" w:hAnsi="Arial" w:cs="Arial"/>
        </w:rPr>
        <w:t xml:space="preserve"> The 0,06 percent</w:t>
      </w:r>
    </w:p>
  </w:footnote>
  <w:footnote w:id="57">
    <w:p w14:paraId="6BCF1875" w14:textId="77777777" w:rsidR="00456D5A" w:rsidRPr="004D511D" w:rsidRDefault="00456D5A" w:rsidP="004D511D">
      <w:pPr>
        <w:pStyle w:val="FootnoteText"/>
        <w:ind w:left="1417"/>
      </w:pPr>
      <w:r>
        <w:rPr>
          <w:rStyle w:val="FootnoteReference"/>
        </w:rPr>
        <w:footnoteRef/>
      </w:r>
      <w:r>
        <w:t xml:space="preserve"> </w:t>
      </w:r>
      <w:r w:rsidRPr="004D511D">
        <w:rPr>
          <w:rFonts w:ascii="Arial" w:hAnsi="Arial" w:cs="Arial"/>
        </w:rPr>
        <w:t>Home Office, Statistics on Race and the Criminal J</w:t>
      </w:r>
      <w:r>
        <w:rPr>
          <w:rFonts w:ascii="Arial" w:hAnsi="Arial" w:cs="Arial"/>
        </w:rPr>
        <w:t>ustice System - 2004 (2005), 35</w:t>
      </w:r>
    </w:p>
  </w:footnote>
  <w:footnote w:id="58">
    <w:p w14:paraId="02EA2630" w14:textId="77777777" w:rsidR="00456D5A" w:rsidRPr="00A11900" w:rsidRDefault="00456D5A" w:rsidP="00BA7F74">
      <w:pPr>
        <w:pStyle w:val="FootnoteText"/>
        <w:ind w:left="1417"/>
        <w:rPr>
          <w:rFonts w:ascii="Arial" w:hAnsi="Arial" w:cs="Arial"/>
          <w:lang w:val="en-US"/>
        </w:rPr>
      </w:pPr>
      <w:r w:rsidRPr="00A11900">
        <w:rPr>
          <w:rStyle w:val="FootnoteReference"/>
          <w:rFonts w:ascii="Arial" w:hAnsi="Arial" w:cs="Arial"/>
        </w:rPr>
        <w:footnoteRef/>
      </w:r>
      <w:r w:rsidRPr="00A11900">
        <w:rPr>
          <w:rFonts w:ascii="Arial" w:hAnsi="Arial" w:cs="Arial"/>
        </w:rPr>
        <w:t xml:space="preserve"> The Government’s “</w:t>
      </w:r>
      <w:r w:rsidRPr="00A11900">
        <w:rPr>
          <w:rFonts w:ascii="Arial" w:eastAsia="Times New Roman" w:hAnsi="Arial" w:cs="Arial"/>
          <w:lang w:eastAsia="it-IT"/>
        </w:rPr>
        <w:t>Terrorism Watchdog”</w:t>
      </w:r>
    </w:p>
  </w:footnote>
  <w:footnote w:id="59">
    <w:p w14:paraId="6BC79F48" w14:textId="77777777" w:rsidR="00456D5A" w:rsidRPr="006E2EAA" w:rsidRDefault="00456D5A" w:rsidP="007B4230">
      <w:pPr>
        <w:pStyle w:val="FootnoteText"/>
        <w:ind w:left="1417"/>
      </w:pPr>
      <w:r>
        <w:rPr>
          <w:rStyle w:val="FootnoteReference"/>
        </w:rPr>
        <w:footnoteRef/>
      </w:r>
      <w:r>
        <w:t xml:space="preserve"> </w:t>
      </w:r>
      <w:r w:rsidRPr="00A11900">
        <w:rPr>
          <w:rFonts w:ascii="Arial" w:hAnsi="Arial" w:cs="Arial"/>
          <w:lang w:val="en-US"/>
        </w:rPr>
        <w:t>Terrorism Act 2000</w:t>
      </w:r>
    </w:p>
  </w:footnote>
  <w:footnote w:id="60">
    <w:p w14:paraId="64366E90" w14:textId="77777777" w:rsidR="00456D5A" w:rsidRPr="00A11900" w:rsidRDefault="00456D5A" w:rsidP="00BA7F74">
      <w:pPr>
        <w:pStyle w:val="FootnoteText"/>
        <w:ind w:left="1417"/>
        <w:rPr>
          <w:rFonts w:ascii="Arial" w:hAnsi="Arial" w:cs="Arial"/>
          <w:lang w:val="en-US"/>
        </w:rPr>
      </w:pPr>
      <w:r w:rsidRPr="00A11900">
        <w:rPr>
          <w:rStyle w:val="FootnoteReference"/>
          <w:rFonts w:ascii="Arial" w:hAnsi="Arial" w:cs="Arial"/>
        </w:rPr>
        <w:footnoteRef/>
      </w:r>
      <w:r w:rsidRPr="00A11900">
        <w:rPr>
          <w:rFonts w:ascii="Arial" w:hAnsi="Arial" w:cs="Arial"/>
        </w:rPr>
        <w:t xml:space="preserve"> B Bowling &amp; C Phillips,  “Disproportionate and Discriminatory: Reviewing the Evidence on Police Stop and Search” (2007) 70 MLR 936  </w:t>
      </w:r>
    </w:p>
  </w:footnote>
  <w:footnote w:id="61">
    <w:p w14:paraId="173C8054" w14:textId="77777777" w:rsidR="00456D5A" w:rsidRPr="00A11900" w:rsidRDefault="00456D5A" w:rsidP="00BA7F74">
      <w:pPr>
        <w:pStyle w:val="FootnoteText"/>
        <w:ind w:left="1417"/>
        <w:rPr>
          <w:rFonts w:ascii="Arial" w:hAnsi="Arial" w:cs="Arial"/>
          <w:lang w:val="en-US"/>
        </w:rPr>
      </w:pPr>
      <w:r w:rsidRPr="00A11900">
        <w:rPr>
          <w:rStyle w:val="FootnoteReference"/>
          <w:rFonts w:ascii="Arial" w:hAnsi="Arial" w:cs="Arial"/>
        </w:rPr>
        <w:footnoteRef/>
      </w:r>
      <w:r w:rsidRPr="00A11900">
        <w:rPr>
          <w:rFonts w:ascii="Arial" w:hAnsi="Arial" w:cs="Arial"/>
        </w:rPr>
        <w:t xml:space="preserve"> N Bland, J Miller, P Quinton (2000) Upping the PACE? An Evaluation of the Stephen Lawrence Inquiry on Stops and Searches Police Research Series Paper No. 128. London: Home Office</w:t>
      </w:r>
    </w:p>
  </w:footnote>
  <w:footnote w:id="62">
    <w:p w14:paraId="0713CD38" w14:textId="77777777" w:rsidR="00456D5A" w:rsidRPr="00A11900" w:rsidRDefault="00456D5A" w:rsidP="00BA7F74">
      <w:pPr>
        <w:pStyle w:val="FootnoteText"/>
        <w:ind w:left="1417"/>
        <w:rPr>
          <w:rFonts w:ascii="Arial" w:hAnsi="Arial" w:cs="Arial"/>
          <w:lang w:val="en-US"/>
        </w:rPr>
      </w:pPr>
      <w:r w:rsidRPr="00A11900">
        <w:rPr>
          <w:rStyle w:val="FootnoteReference"/>
          <w:rFonts w:ascii="Arial" w:hAnsi="Arial" w:cs="Arial"/>
        </w:rPr>
        <w:footnoteRef/>
      </w:r>
      <w:r w:rsidRPr="00A11900">
        <w:rPr>
          <w:rFonts w:ascii="Arial" w:hAnsi="Arial" w:cs="Arial"/>
        </w:rPr>
        <w:t xml:space="preserve"> J Miller, N Bland, P Quinton, (2000) The Impact of Stops and Searches on Crime and the Community, Police Research Series Paper 127 London: Home Office</w:t>
      </w:r>
    </w:p>
  </w:footnote>
  <w:footnote w:id="63">
    <w:p w14:paraId="1DB48163" w14:textId="77777777" w:rsidR="00456D5A" w:rsidRPr="00066FF6" w:rsidRDefault="00456D5A" w:rsidP="00557AF0">
      <w:pPr>
        <w:pStyle w:val="FootnoteText"/>
        <w:ind w:left="1417"/>
      </w:pPr>
      <w:r w:rsidRPr="00A11900">
        <w:rPr>
          <w:rStyle w:val="FootnoteReference"/>
          <w:rFonts w:ascii="Arial" w:hAnsi="Arial" w:cs="Arial"/>
        </w:rPr>
        <w:footnoteRef/>
      </w:r>
      <w:r w:rsidRPr="00A11900">
        <w:rPr>
          <w:rFonts w:ascii="Arial" w:hAnsi="Arial" w:cs="Arial"/>
        </w:rPr>
        <w:t xml:space="preserve"> J Miller, N Bland, P Quinton, (2000) The Impact of Stops and Searches on Crime and the Community, Police Research Series Paper 127 London: Home Office</w:t>
      </w:r>
    </w:p>
  </w:footnote>
  <w:footnote w:id="64">
    <w:p w14:paraId="30D4749A" w14:textId="77777777" w:rsidR="00456D5A" w:rsidRPr="00A11900" w:rsidRDefault="00456D5A" w:rsidP="00BA7F74">
      <w:pPr>
        <w:pStyle w:val="FootnoteText"/>
        <w:ind w:left="1417"/>
        <w:rPr>
          <w:rFonts w:ascii="Arial" w:hAnsi="Arial" w:cs="Arial"/>
        </w:rPr>
      </w:pPr>
      <w:r w:rsidRPr="00A11900">
        <w:rPr>
          <w:rStyle w:val="FootnoteReference"/>
          <w:rFonts w:ascii="Arial" w:hAnsi="Arial" w:cs="Arial"/>
        </w:rPr>
        <w:footnoteRef/>
      </w:r>
      <w:r w:rsidRPr="00A11900">
        <w:rPr>
          <w:rFonts w:ascii="Arial" w:hAnsi="Arial" w:cs="Arial"/>
        </w:rPr>
        <w:t xml:space="preserve"> </w:t>
      </w:r>
      <w:r w:rsidRPr="00DA2B08">
        <w:rPr>
          <w:rFonts w:ascii="Arial" w:hAnsi="Arial" w:cs="Arial"/>
        </w:rPr>
        <w:t xml:space="preserve"> </w:t>
      </w:r>
      <w:r w:rsidR="00D66B2F" w:rsidRPr="00D66B2F">
        <w:rPr>
          <w:rFonts w:ascii="Arial" w:hAnsi="Arial" w:cs="Arial"/>
        </w:rPr>
        <w:t>J Miller, N Bland, P Quinton, (2000) The Impact of Stops and Searches on Crime and the Community, Police Research Series Paper 127 London: Home Office</w:t>
      </w:r>
    </w:p>
  </w:footnote>
  <w:footnote w:id="65">
    <w:p w14:paraId="618A1647" w14:textId="77777777" w:rsidR="00456D5A" w:rsidRPr="000A0464" w:rsidRDefault="00456D5A" w:rsidP="000A0464">
      <w:pPr>
        <w:pStyle w:val="FootnoteText"/>
        <w:ind w:left="1417"/>
      </w:pPr>
      <w:r>
        <w:rPr>
          <w:rStyle w:val="FootnoteReference"/>
        </w:rPr>
        <w:footnoteRef/>
      </w:r>
      <w:r>
        <w:t xml:space="preserve"> </w:t>
      </w:r>
      <w:r w:rsidRPr="000A0464">
        <w:rPr>
          <w:rFonts w:ascii="Arial" w:hAnsi="Arial" w:cs="Arial"/>
        </w:rPr>
        <w:t>Police Act 1996, s 89(2)</w:t>
      </w:r>
    </w:p>
  </w:footnote>
  <w:footnote w:id="66">
    <w:p w14:paraId="098595EF" w14:textId="77777777" w:rsidR="00456D5A" w:rsidRPr="00B76426" w:rsidRDefault="00456D5A" w:rsidP="00555A58">
      <w:pPr>
        <w:pStyle w:val="FootnoteText"/>
        <w:ind w:left="1417"/>
        <w:rPr>
          <w:rFonts w:ascii="Arial" w:hAnsi="Arial" w:cs="Arial"/>
        </w:rPr>
      </w:pPr>
      <w:r w:rsidRPr="00B76426">
        <w:rPr>
          <w:rStyle w:val="FootnoteReference"/>
          <w:rFonts w:ascii="Arial" w:hAnsi="Arial" w:cs="Arial"/>
        </w:rPr>
        <w:footnoteRef/>
      </w:r>
      <w:r w:rsidRPr="00B76426">
        <w:rPr>
          <w:rFonts w:ascii="Arial" w:hAnsi="Arial" w:cs="Arial"/>
        </w:rPr>
        <w:t xml:space="preserve"> D </w:t>
      </w:r>
      <w:r>
        <w:rPr>
          <w:rFonts w:ascii="Arial" w:hAnsi="Arial" w:cs="Arial"/>
        </w:rPr>
        <w:t>Ellis, “Stop and search: Disproportionality, Discretion and G</w:t>
      </w:r>
      <w:r w:rsidRPr="00B76426">
        <w:rPr>
          <w:rFonts w:ascii="Arial" w:hAnsi="Arial" w:cs="Arial"/>
        </w:rPr>
        <w:t>eneralisations” 83(3) The Police Journal  199</w:t>
      </w:r>
    </w:p>
  </w:footnote>
  <w:footnote w:id="67">
    <w:p w14:paraId="64D5BA21" w14:textId="77777777" w:rsidR="00456D5A" w:rsidRPr="00B76426" w:rsidRDefault="00456D5A" w:rsidP="00480A51">
      <w:pPr>
        <w:pStyle w:val="FootnoteText"/>
        <w:ind w:left="1417"/>
        <w:rPr>
          <w:rFonts w:ascii="Arial" w:hAnsi="Arial" w:cs="Arial"/>
          <w:lang w:val="en-US"/>
        </w:rPr>
      </w:pPr>
      <w:r w:rsidRPr="00B76426">
        <w:rPr>
          <w:rStyle w:val="FootnoteReference"/>
          <w:rFonts w:ascii="Arial" w:hAnsi="Arial" w:cs="Arial"/>
        </w:rPr>
        <w:footnoteRef/>
      </w:r>
      <w:r w:rsidRPr="00B76426">
        <w:rPr>
          <w:rFonts w:ascii="Arial" w:hAnsi="Arial" w:cs="Arial"/>
        </w:rPr>
        <w:t xml:space="preserve"> C Lerner “Reasonable Suspicion and Mere Hunches” (2006) 59 (2) Vanderbilt Law Review 405</w:t>
      </w:r>
    </w:p>
  </w:footnote>
  <w:footnote w:id="68">
    <w:p w14:paraId="765268B0" w14:textId="77777777" w:rsidR="00456D5A" w:rsidRPr="00B76426" w:rsidRDefault="00456D5A" w:rsidP="004615D4">
      <w:pPr>
        <w:pStyle w:val="FootnoteText"/>
        <w:ind w:left="1417"/>
        <w:rPr>
          <w:rFonts w:ascii="Arial" w:hAnsi="Arial" w:cs="Arial"/>
          <w:lang w:val="en-US"/>
        </w:rPr>
      </w:pPr>
      <w:r w:rsidRPr="00B76426">
        <w:rPr>
          <w:rStyle w:val="FootnoteReference"/>
          <w:rFonts w:ascii="Arial" w:hAnsi="Arial" w:cs="Arial"/>
        </w:rPr>
        <w:footnoteRef/>
      </w:r>
      <w:r>
        <w:rPr>
          <w:rFonts w:ascii="Arial" w:hAnsi="Arial" w:cs="Arial"/>
        </w:rPr>
        <w:t xml:space="preserve"> D Ellis, “Stop and search: Disproportionality, Discretion and G</w:t>
      </w:r>
      <w:r w:rsidRPr="00B76426">
        <w:rPr>
          <w:rFonts w:ascii="Arial" w:hAnsi="Arial" w:cs="Arial"/>
        </w:rPr>
        <w:t>eneralisations” 83(3) The Police Journal  199</w:t>
      </w:r>
    </w:p>
  </w:footnote>
  <w:footnote w:id="69">
    <w:p w14:paraId="52872CEF" w14:textId="77777777" w:rsidR="00456D5A" w:rsidRPr="00B76426" w:rsidRDefault="00456D5A" w:rsidP="00BE1744">
      <w:pPr>
        <w:pStyle w:val="FootnoteText"/>
        <w:ind w:left="1417"/>
        <w:rPr>
          <w:rFonts w:ascii="Arial" w:hAnsi="Arial" w:cs="Arial"/>
          <w:lang w:val="en-US"/>
        </w:rPr>
      </w:pPr>
      <w:r w:rsidRPr="00B76426">
        <w:rPr>
          <w:rStyle w:val="FootnoteReference"/>
          <w:rFonts w:ascii="Arial" w:hAnsi="Arial" w:cs="Arial"/>
        </w:rPr>
        <w:footnoteRef/>
      </w:r>
      <w:r w:rsidRPr="00B76426">
        <w:rPr>
          <w:rFonts w:ascii="Arial" w:hAnsi="Arial" w:cs="Arial"/>
        </w:rPr>
        <w:t xml:space="preserve"> C Lerner “Reasonable Suspicion and Mere Hunches” (2006) 59 (2) Vanderbilt Law Review 405</w:t>
      </w:r>
    </w:p>
  </w:footnote>
  <w:footnote w:id="70">
    <w:p w14:paraId="26D3B68D" w14:textId="77777777" w:rsidR="00456D5A" w:rsidRPr="0078789F" w:rsidRDefault="00456D5A" w:rsidP="0078789F">
      <w:pPr>
        <w:pStyle w:val="FootnoteText"/>
        <w:ind w:left="1417"/>
        <w:rPr>
          <w:rFonts w:ascii="Arial" w:hAnsi="Arial" w:cs="Arial"/>
        </w:rPr>
      </w:pPr>
      <w:r w:rsidRPr="00B76426">
        <w:rPr>
          <w:rStyle w:val="FootnoteReference"/>
          <w:rFonts w:ascii="Arial" w:hAnsi="Arial" w:cs="Arial"/>
        </w:rPr>
        <w:footnoteRef/>
      </w:r>
      <w:r>
        <w:rPr>
          <w:rFonts w:ascii="Arial" w:hAnsi="Arial" w:cs="Arial"/>
        </w:rPr>
        <w:t xml:space="preserve"> D Ellis, “Stop and search: D</w:t>
      </w:r>
      <w:r w:rsidRPr="00B76426">
        <w:rPr>
          <w:rFonts w:ascii="Arial" w:hAnsi="Arial" w:cs="Arial"/>
        </w:rPr>
        <w:t xml:space="preserve">isproportionality, </w:t>
      </w:r>
      <w:r>
        <w:rPr>
          <w:rFonts w:ascii="Arial" w:hAnsi="Arial" w:cs="Arial"/>
        </w:rPr>
        <w:t>D</w:t>
      </w:r>
      <w:r w:rsidRPr="00B76426">
        <w:rPr>
          <w:rFonts w:ascii="Arial" w:hAnsi="Arial" w:cs="Arial"/>
        </w:rPr>
        <w:t>iscre</w:t>
      </w:r>
      <w:r>
        <w:rPr>
          <w:rFonts w:ascii="Arial" w:hAnsi="Arial" w:cs="Arial"/>
        </w:rPr>
        <w:t>tion and G</w:t>
      </w:r>
      <w:r w:rsidRPr="00B76426">
        <w:rPr>
          <w:rFonts w:ascii="Arial" w:hAnsi="Arial" w:cs="Arial"/>
        </w:rPr>
        <w:t>eneralisations” 83(3) The Police Journal  199</w:t>
      </w:r>
    </w:p>
  </w:footnote>
  <w:footnote w:id="71">
    <w:p w14:paraId="230EFE04" w14:textId="77777777" w:rsidR="00456D5A" w:rsidRPr="00A1207B" w:rsidRDefault="00456D5A" w:rsidP="009D4BAF">
      <w:pPr>
        <w:spacing w:after="0"/>
        <w:ind w:left="1417"/>
        <w:rPr>
          <w:rFonts w:ascii="Arial" w:hAnsi="Arial" w:cs="Arial"/>
          <w:sz w:val="20"/>
          <w:szCs w:val="20"/>
        </w:rPr>
      </w:pPr>
      <w:r w:rsidRPr="0078789F">
        <w:rPr>
          <w:rStyle w:val="FootnoteReference"/>
          <w:rFonts w:ascii="Arial" w:hAnsi="Arial" w:cs="Arial"/>
        </w:rPr>
        <w:footnoteRef/>
      </w:r>
      <w:r w:rsidRPr="0078789F">
        <w:rPr>
          <w:rFonts w:ascii="Arial" w:hAnsi="Arial" w:cs="Arial"/>
        </w:rPr>
        <w:t xml:space="preserve"> </w:t>
      </w:r>
      <w:r w:rsidRPr="0078789F">
        <w:rPr>
          <w:rFonts w:ascii="Arial" w:hAnsi="Arial" w:cs="Arial"/>
          <w:sz w:val="20"/>
          <w:szCs w:val="20"/>
        </w:rPr>
        <w:t>D Ellis, “Stop and search: disproportionality, discretion and generalisations” 83(3) The Police Journal  199</w:t>
      </w:r>
    </w:p>
  </w:footnote>
  <w:footnote w:id="72">
    <w:p w14:paraId="11339B2D" w14:textId="77777777" w:rsidR="00456D5A" w:rsidRPr="00E139A8" w:rsidRDefault="00456D5A" w:rsidP="00E139A8">
      <w:pPr>
        <w:pStyle w:val="FootnoteText"/>
        <w:ind w:left="1417"/>
        <w:rPr>
          <w:rFonts w:ascii="Arial" w:hAnsi="Arial" w:cs="Arial"/>
          <w:lang w:val="en-US"/>
        </w:rPr>
      </w:pPr>
      <w:r w:rsidRPr="00E139A8">
        <w:rPr>
          <w:rStyle w:val="FootnoteReference"/>
          <w:rFonts w:ascii="Arial" w:hAnsi="Arial" w:cs="Arial"/>
        </w:rPr>
        <w:footnoteRef/>
      </w:r>
      <w:r w:rsidRPr="00E139A8">
        <w:rPr>
          <w:rFonts w:ascii="Arial" w:hAnsi="Arial" w:cs="Arial"/>
        </w:rPr>
        <w:t xml:space="preserve"> N Bland, J Miller, P Quinton (2000) Upping the PACE? An Evaluation of the Stephen Lawrence Inquiry on Stops and Searches Police Research Series Paper No. 128. London: Home Office</w:t>
      </w:r>
    </w:p>
  </w:footnote>
  <w:footnote w:id="73">
    <w:p w14:paraId="03D4B7E9" w14:textId="77777777" w:rsidR="00456D5A" w:rsidRPr="00E139A8" w:rsidRDefault="00456D5A" w:rsidP="00E139A8">
      <w:pPr>
        <w:pStyle w:val="FootnoteText"/>
        <w:ind w:left="1417"/>
        <w:rPr>
          <w:rFonts w:ascii="Arial" w:hAnsi="Arial" w:cs="Arial"/>
          <w:lang w:val="en-US"/>
        </w:rPr>
      </w:pPr>
      <w:r w:rsidRPr="00E139A8">
        <w:rPr>
          <w:rStyle w:val="FootnoteReference"/>
          <w:rFonts w:ascii="Arial" w:hAnsi="Arial" w:cs="Arial"/>
        </w:rPr>
        <w:footnoteRef/>
      </w:r>
      <w:r w:rsidRPr="00E139A8">
        <w:rPr>
          <w:rFonts w:ascii="Arial" w:hAnsi="Arial" w:cs="Arial"/>
        </w:rPr>
        <w:t xml:space="preserve"> </w:t>
      </w:r>
      <w:r w:rsidRPr="00E139A8">
        <w:rPr>
          <w:rFonts w:ascii="Arial" w:hAnsi="Arial" w:cs="Arial"/>
          <w:lang w:val="en-US"/>
        </w:rPr>
        <w:t>Ibid</w:t>
      </w:r>
    </w:p>
  </w:footnote>
  <w:footnote w:id="74">
    <w:p w14:paraId="12A01FB8" w14:textId="77777777" w:rsidR="00456D5A" w:rsidRPr="00E139A8" w:rsidRDefault="00456D5A" w:rsidP="00E139A8">
      <w:pPr>
        <w:pStyle w:val="FootnoteText"/>
        <w:ind w:left="1417"/>
        <w:rPr>
          <w:rFonts w:ascii="Arial" w:hAnsi="Arial" w:cs="Arial"/>
          <w:lang w:val="en-US"/>
        </w:rPr>
      </w:pPr>
      <w:r w:rsidRPr="00E139A8">
        <w:rPr>
          <w:rStyle w:val="FootnoteReference"/>
          <w:rFonts w:ascii="Arial" w:hAnsi="Arial" w:cs="Arial"/>
        </w:rPr>
        <w:footnoteRef/>
      </w:r>
      <w:r w:rsidRPr="00E139A8">
        <w:rPr>
          <w:rFonts w:ascii="Arial" w:hAnsi="Arial" w:cs="Arial"/>
        </w:rPr>
        <w:t xml:space="preserve"> </w:t>
      </w:r>
      <w:r w:rsidRPr="00E139A8">
        <w:rPr>
          <w:rFonts w:ascii="Arial" w:hAnsi="Arial" w:cs="Arial"/>
          <w:lang w:val="en-US"/>
        </w:rPr>
        <w:t xml:space="preserve">Association of Police Authorities </w:t>
      </w:r>
    </w:p>
  </w:footnote>
  <w:footnote w:id="75">
    <w:p w14:paraId="23ED808E" w14:textId="77777777" w:rsidR="00456D5A" w:rsidRPr="00E139A8" w:rsidRDefault="00456D5A" w:rsidP="00E139A8">
      <w:pPr>
        <w:pStyle w:val="FootnoteText"/>
        <w:ind w:left="1417"/>
        <w:rPr>
          <w:rFonts w:ascii="Arial" w:hAnsi="Arial" w:cs="Arial"/>
          <w:lang w:val="en-US"/>
        </w:rPr>
      </w:pPr>
      <w:r w:rsidRPr="00E139A8">
        <w:rPr>
          <w:rStyle w:val="FootnoteReference"/>
          <w:rFonts w:ascii="Arial" w:hAnsi="Arial" w:cs="Arial"/>
        </w:rPr>
        <w:footnoteRef/>
      </w:r>
      <w:r w:rsidRPr="00E139A8">
        <w:rPr>
          <w:rFonts w:ascii="Arial" w:hAnsi="Arial" w:cs="Arial"/>
        </w:rPr>
        <w:t xml:space="preserve"> N Bland, J Miller, P Quinton (2000) Upping the PACE? An Evaluation of the Stephen Lawrence Inquiry on Stops and Searches Police Research Series Paper No. 128. London: Home Office</w:t>
      </w:r>
    </w:p>
  </w:footnote>
  <w:footnote w:id="76">
    <w:p w14:paraId="69698F97" w14:textId="77777777" w:rsidR="00456D5A" w:rsidRPr="00E139A8" w:rsidRDefault="00456D5A" w:rsidP="00E139A8">
      <w:pPr>
        <w:pStyle w:val="FootnoteText"/>
        <w:ind w:left="1417"/>
        <w:rPr>
          <w:rFonts w:ascii="Arial" w:hAnsi="Arial" w:cs="Arial"/>
          <w:lang w:val="en-US"/>
        </w:rPr>
      </w:pPr>
      <w:r w:rsidRPr="00E139A8">
        <w:rPr>
          <w:rStyle w:val="FootnoteReference"/>
          <w:rFonts w:ascii="Arial" w:hAnsi="Arial" w:cs="Arial"/>
        </w:rPr>
        <w:footnoteRef/>
      </w:r>
      <w:r w:rsidRPr="00E139A8">
        <w:rPr>
          <w:rFonts w:ascii="Arial" w:hAnsi="Arial" w:cs="Arial"/>
        </w:rPr>
        <w:t xml:space="preserve"> </w:t>
      </w:r>
      <w:r w:rsidRPr="00E139A8">
        <w:rPr>
          <w:rFonts w:ascii="Arial" w:hAnsi="Arial" w:cs="Arial"/>
          <w:lang w:val="en-US"/>
        </w:rPr>
        <w:t>Ibid</w:t>
      </w:r>
    </w:p>
  </w:footnote>
  <w:footnote w:id="77">
    <w:p w14:paraId="11B6830D" w14:textId="77777777" w:rsidR="00456D5A" w:rsidRPr="00E139A8" w:rsidRDefault="00456D5A" w:rsidP="00E139A8">
      <w:pPr>
        <w:pStyle w:val="FootnoteText"/>
        <w:ind w:left="1417"/>
        <w:rPr>
          <w:rFonts w:ascii="Arial" w:hAnsi="Arial" w:cs="Arial"/>
          <w:lang w:val="en-US"/>
        </w:rPr>
      </w:pPr>
      <w:r w:rsidRPr="00E139A8">
        <w:rPr>
          <w:rStyle w:val="FootnoteReference"/>
          <w:rFonts w:ascii="Arial" w:hAnsi="Arial" w:cs="Arial"/>
        </w:rPr>
        <w:footnoteRef/>
      </w:r>
      <w:r w:rsidRPr="00E139A8">
        <w:rPr>
          <w:rFonts w:ascii="Arial" w:hAnsi="Arial" w:cs="Arial"/>
        </w:rPr>
        <w:t xml:space="preserve"> K Reid, “Race Issues and Stop and Search: Looking behind the Statistics” (2009) 73(2) The Journal of Criminal Law 165</w:t>
      </w:r>
    </w:p>
  </w:footnote>
  <w:footnote w:id="78">
    <w:p w14:paraId="21CE527B" w14:textId="77777777" w:rsidR="00456D5A" w:rsidRPr="00E139A8" w:rsidRDefault="00456D5A" w:rsidP="00E139A8">
      <w:pPr>
        <w:pStyle w:val="FootnoteText"/>
        <w:ind w:left="1417"/>
        <w:rPr>
          <w:rFonts w:ascii="Arial" w:hAnsi="Arial" w:cs="Arial"/>
        </w:rPr>
      </w:pPr>
      <w:r w:rsidRPr="00E139A8">
        <w:rPr>
          <w:rStyle w:val="FootnoteReference"/>
          <w:rFonts w:ascii="Arial" w:hAnsi="Arial" w:cs="Arial"/>
        </w:rPr>
        <w:footnoteRef/>
      </w:r>
      <w:r w:rsidRPr="00E139A8">
        <w:rPr>
          <w:rFonts w:ascii="Arial" w:hAnsi="Arial" w:cs="Arial"/>
        </w:rPr>
        <w:t xml:space="preserve"> C Elliott &amp; F Quinn,  English Legal System  (11th edition, Pearson Education Ltd, Harlow, 2010)</w:t>
      </w:r>
    </w:p>
  </w:footnote>
  <w:footnote w:id="79">
    <w:p w14:paraId="033EFA7A" w14:textId="77777777" w:rsidR="00456D5A" w:rsidRPr="0032448B" w:rsidRDefault="00456D5A" w:rsidP="0032448B">
      <w:pPr>
        <w:pStyle w:val="FootnoteText"/>
        <w:ind w:left="1417"/>
        <w:rPr>
          <w:rFonts w:ascii="Arial" w:hAnsi="Arial" w:cs="Arial"/>
        </w:rPr>
      </w:pPr>
      <w:r w:rsidRPr="0032448B">
        <w:rPr>
          <w:rStyle w:val="FootnoteReference"/>
          <w:rFonts w:ascii="Arial" w:hAnsi="Arial" w:cs="Arial"/>
        </w:rPr>
        <w:footnoteRef/>
      </w:r>
      <w:r w:rsidRPr="0032448B">
        <w:rPr>
          <w:rFonts w:ascii="Arial" w:hAnsi="Arial" w:cs="Arial"/>
        </w:rPr>
        <w:t xml:space="preserve"> Human Rights Act 1998</w:t>
      </w:r>
    </w:p>
  </w:footnote>
  <w:footnote w:id="80">
    <w:p w14:paraId="221BB9DE" w14:textId="77777777" w:rsidR="00456D5A" w:rsidRPr="00E139A8" w:rsidRDefault="00456D5A" w:rsidP="00E139A8">
      <w:pPr>
        <w:pStyle w:val="FootnoteText"/>
        <w:ind w:left="1417"/>
        <w:rPr>
          <w:rFonts w:ascii="Arial" w:hAnsi="Arial" w:cs="Arial"/>
        </w:rPr>
      </w:pPr>
      <w:r w:rsidRPr="00E139A8">
        <w:rPr>
          <w:rStyle w:val="FootnoteReference"/>
          <w:rFonts w:ascii="Arial" w:hAnsi="Arial" w:cs="Arial"/>
        </w:rPr>
        <w:footnoteRef/>
      </w:r>
      <w:r w:rsidRPr="00E139A8">
        <w:rPr>
          <w:rFonts w:ascii="Arial" w:hAnsi="Arial" w:cs="Arial"/>
        </w:rPr>
        <w:t xml:space="preserve"> Gillan and Quinton v. The United Kingdom (Application no. 4158/05)</w:t>
      </w:r>
    </w:p>
  </w:footnote>
  <w:footnote w:id="81">
    <w:p w14:paraId="1CB63F30" w14:textId="77777777" w:rsidR="00456D5A" w:rsidRPr="00E139A8" w:rsidRDefault="00456D5A" w:rsidP="00E139A8">
      <w:pPr>
        <w:pStyle w:val="FootnoteText"/>
        <w:ind w:left="1417"/>
        <w:rPr>
          <w:rFonts w:ascii="Arial" w:hAnsi="Arial" w:cs="Arial"/>
        </w:rPr>
      </w:pPr>
      <w:r w:rsidRPr="00E139A8">
        <w:rPr>
          <w:rStyle w:val="FootnoteReference"/>
          <w:rFonts w:ascii="Arial" w:hAnsi="Arial" w:cs="Arial"/>
        </w:rPr>
        <w:footnoteRef/>
      </w:r>
      <w:r w:rsidRPr="00E139A8">
        <w:rPr>
          <w:rFonts w:ascii="Arial" w:hAnsi="Arial" w:cs="Arial"/>
        </w:rPr>
        <w:t xml:space="preserve"> Terrorism Act (Remedial) Order 2011</w:t>
      </w:r>
    </w:p>
  </w:footnote>
  <w:footnote w:id="82">
    <w:p w14:paraId="16A2CE23" w14:textId="77777777" w:rsidR="00456D5A" w:rsidRPr="00E139A8" w:rsidRDefault="00456D5A" w:rsidP="00E139A8">
      <w:pPr>
        <w:pStyle w:val="FootnoteText"/>
        <w:ind w:left="1417"/>
        <w:rPr>
          <w:rFonts w:ascii="Arial" w:hAnsi="Arial" w:cs="Arial"/>
        </w:rPr>
      </w:pPr>
      <w:r w:rsidRPr="00E139A8">
        <w:rPr>
          <w:rStyle w:val="FootnoteReference"/>
          <w:rFonts w:ascii="Arial" w:hAnsi="Arial" w:cs="Arial"/>
        </w:rPr>
        <w:footnoteRef/>
      </w:r>
      <w:r w:rsidRPr="00E139A8">
        <w:rPr>
          <w:rFonts w:ascii="Arial" w:hAnsi="Arial" w:cs="Arial"/>
        </w:rPr>
        <w:t xml:space="preserve"> </w:t>
      </w:r>
      <w:r w:rsidRPr="00E139A8">
        <w:rPr>
          <w:rFonts w:ascii="Arial" w:hAnsi="Arial" w:cs="Arial"/>
          <w:lang w:val="en-US"/>
        </w:rPr>
        <w:t xml:space="preserve">Protection of Freedoms Act </w:t>
      </w:r>
      <w:r>
        <w:rPr>
          <w:rFonts w:ascii="Arial" w:hAnsi="Arial" w:cs="Arial"/>
          <w:lang w:val="en-US"/>
        </w:rPr>
        <w:t>2012</w:t>
      </w:r>
    </w:p>
  </w:footnote>
  <w:footnote w:id="83">
    <w:p w14:paraId="7ECAC2F1" w14:textId="77777777" w:rsidR="00456D5A" w:rsidRPr="000455AE" w:rsidRDefault="00456D5A" w:rsidP="000455AE">
      <w:pPr>
        <w:pStyle w:val="FootnoteText"/>
        <w:ind w:left="1417"/>
        <w:rPr>
          <w:rFonts w:ascii="Arial" w:hAnsi="Arial" w:cs="Arial"/>
          <w:lang w:val="en-US"/>
        </w:rPr>
      </w:pPr>
      <w:r w:rsidRPr="000455AE">
        <w:rPr>
          <w:rStyle w:val="FootnoteReference"/>
          <w:rFonts w:ascii="Arial" w:hAnsi="Arial" w:cs="Arial"/>
        </w:rPr>
        <w:footnoteRef/>
      </w:r>
      <w:r w:rsidRPr="000455AE">
        <w:rPr>
          <w:rFonts w:ascii="Arial" w:hAnsi="Arial" w:cs="Arial"/>
        </w:rPr>
        <w:t xml:space="preserve"> The Parliamentary Under-Secretary of State for the Home Department</w:t>
      </w:r>
    </w:p>
  </w:footnote>
  <w:footnote w:id="84">
    <w:p w14:paraId="43A59A87" w14:textId="77777777" w:rsidR="00456D5A" w:rsidRPr="00E139A8" w:rsidRDefault="00456D5A" w:rsidP="00E139A8">
      <w:pPr>
        <w:pStyle w:val="FootnoteText"/>
        <w:ind w:left="1417"/>
      </w:pPr>
      <w:r w:rsidRPr="00E139A8">
        <w:rPr>
          <w:rStyle w:val="FootnoteReference"/>
          <w:rFonts w:ascii="Arial" w:hAnsi="Arial" w:cs="Arial"/>
        </w:rPr>
        <w:footnoteRef/>
      </w:r>
      <w:r w:rsidRPr="00E139A8">
        <w:rPr>
          <w:rFonts w:ascii="Arial" w:hAnsi="Arial" w:cs="Arial"/>
        </w:rPr>
        <w:t xml:space="preserve"> Ibid</w:t>
      </w:r>
    </w:p>
  </w:footnote>
  <w:footnote w:id="85">
    <w:p w14:paraId="4325F400" w14:textId="77777777" w:rsidR="00456D5A" w:rsidRPr="009A0F2E" w:rsidRDefault="00456D5A" w:rsidP="003A44D3">
      <w:pPr>
        <w:pStyle w:val="FootnoteText"/>
        <w:ind w:left="1417"/>
        <w:rPr>
          <w:rFonts w:ascii="Arial" w:hAnsi="Arial" w:cs="Arial"/>
        </w:rPr>
      </w:pPr>
      <w:r w:rsidRPr="009A0F2E">
        <w:rPr>
          <w:rStyle w:val="FootnoteReference"/>
          <w:rFonts w:ascii="Arial" w:hAnsi="Arial" w:cs="Arial"/>
        </w:rPr>
        <w:footnoteRef/>
      </w:r>
      <w:r w:rsidRPr="009A0F2E">
        <w:rPr>
          <w:rFonts w:ascii="Arial" w:hAnsi="Arial" w:cs="Arial"/>
        </w:rPr>
        <w:t xml:space="preserve"> House of Commons Deb, 10 May 2012, Column 9WS</w:t>
      </w:r>
    </w:p>
  </w:footnote>
  <w:footnote w:id="86">
    <w:p w14:paraId="220E7E5E" w14:textId="77777777" w:rsidR="00456D5A" w:rsidRPr="009A0F2E" w:rsidRDefault="00456D5A" w:rsidP="003A44D3">
      <w:pPr>
        <w:pStyle w:val="FootnoteText"/>
        <w:ind w:left="1417"/>
        <w:rPr>
          <w:rFonts w:ascii="Arial" w:hAnsi="Arial" w:cs="Arial"/>
          <w:lang w:val="en-US"/>
        </w:rPr>
      </w:pPr>
      <w:r w:rsidRPr="009A0F2E">
        <w:rPr>
          <w:rStyle w:val="FootnoteReference"/>
          <w:rFonts w:ascii="Arial" w:hAnsi="Arial" w:cs="Arial"/>
        </w:rPr>
        <w:footnoteRef/>
      </w:r>
      <w:r w:rsidRPr="009A0F2E">
        <w:rPr>
          <w:rFonts w:ascii="Arial" w:hAnsi="Arial" w:cs="Arial"/>
        </w:rPr>
        <w:t xml:space="preserve"> </w:t>
      </w:r>
      <w:r w:rsidRPr="009A0F2E">
        <w:rPr>
          <w:rFonts w:ascii="Arial" w:hAnsi="Arial" w:cs="Arial"/>
          <w:lang w:val="en-US"/>
        </w:rPr>
        <w:t>Protection of Freedoms Act 2012 (s. 59)</w:t>
      </w:r>
    </w:p>
  </w:footnote>
  <w:footnote w:id="87">
    <w:p w14:paraId="211291E0" w14:textId="77777777" w:rsidR="00456D5A" w:rsidRPr="009A0F2E" w:rsidRDefault="00456D5A" w:rsidP="003A44D3">
      <w:pPr>
        <w:pStyle w:val="FootnoteText"/>
        <w:ind w:left="1417"/>
        <w:rPr>
          <w:rFonts w:ascii="Arial" w:hAnsi="Arial" w:cs="Arial"/>
          <w:lang w:val="en-US"/>
        </w:rPr>
      </w:pPr>
      <w:r w:rsidRPr="009A0F2E">
        <w:rPr>
          <w:rStyle w:val="FootnoteReference"/>
          <w:rFonts w:ascii="Arial" w:hAnsi="Arial" w:cs="Arial"/>
        </w:rPr>
        <w:footnoteRef/>
      </w:r>
      <w:r w:rsidRPr="009A0F2E">
        <w:rPr>
          <w:rFonts w:ascii="Arial" w:hAnsi="Arial" w:cs="Arial"/>
        </w:rPr>
        <w:t xml:space="preserve"> Police and Criminal Evidence Act 1984 (PACE)</w:t>
      </w:r>
    </w:p>
  </w:footnote>
  <w:footnote w:id="88">
    <w:p w14:paraId="6072FAEA" w14:textId="77777777" w:rsidR="00456D5A" w:rsidRPr="009A0F2E" w:rsidRDefault="00456D5A" w:rsidP="003A44D3">
      <w:pPr>
        <w:pStyle w:val="FootnoteText"/>
        <w:ind w:left="1417"/>
        <w:rPr>
          <w:rFonts w:ascii="Arial" w:hAnsi="Arial" w:cs="Arial"/>
        </w:rPr>
      </w:pPr>
      <w:r w:rsidRPr="009A0F2E">
        <w:rPr>
          <w:rStyle w:val="FootnoteReference"/>
          <w:rFonts w:ascii="Arial" w:hAnsi="Arial" w:cs="Arial"/>
        </w:rPr>
        <w:footnoteRef/>
      </w:r>
      <w:r w:rsidRPr="009A0F2E">
        <w:rPr>
          <w:rFonts w:ascii="Arial" w:hAnsi="Arial" w:cs="Arial"/>
        </w:rPr>
        <w:t xml:space="preserve"> Protection of Freedoms Act 2012 (s. 62)</w:t>
      </w:r>
    </w:p>
  </w:footnote>
  <w:footnote w:id="89">
    <w:p w14:paraId="3610DA38" w14:textId="77777777" w:rsidR="00456D5A" w:rsidRPr="009A0F2E" w:rsidRDefault="00456D5A" w:rsidP="003A44D3">
      <w:pPr>
        <w:pStyle w:val="FootnoteText"/>
        <w:ind w:left="1417"/>
        <w:rPr>
          <w:rFonts w:ascii="Arial" w:hAnsi="Arial" w:cs="Arial"/>
          <w:lang w:val="en-US"/>
        </w:rPr>
      </w:pPr>
      <w:r w:rsidRPr="009A0F2E">
        <w:rPr>
          <w:rStyle w:val="FootnoteReference"/>
          <w:rFonts w:ascii="Arial" w:hAnsi="Arial" w:cs="Arial"/>
        </w:rPr>
        <w:footnoteRef/>
      </w:r>
      <w:r w:rsidRPr="009A0F2E">
        <w:rPr>
          <w:rFonts w:ascii="Arial" w:hAnsi="Arial" w:cs="Arial"/>
        </w:rPr>
        <w:t xml:space="preserve"> B Muller-Wille,  “The Effect of International Terrorism on EU Intelligence Co-operation” (2008) 46 JCMS 49</w:t>
      </w:r>
    </w:p>
  </w:footnote>
  <w:footnote w:id="90">
    <w:p w14:paraId="3F906FCF" w14:textId="77777777" w:rsidR="00456D5A" w:rsidRPr="009A0F2E" w:rsidRDefault="00456D5A" w:rsidP="003A44D3">
      <w:pPr>
        <w:pStyle w:val="FootnoteText"/>
        <w:ind w:left="1417"/>
        <w:rPr>
          <w:rFonts w:ascii="Arial" w:hAnsi="Arial" w:cs="Arial"/>
          <w:lang w:val="en-US"/>
        </w:rPr>
      </w:pPr>
      <w:r w:rsidRPr="009A0F2E">
        <w:rPr>
          <w:rStyle w:val="FootnoteReference"/>
          <w:rFonts w:ascii="Arial" w:hAnsi="Arial" w:cs="Arial"/>
        </w:rPr>
        <w:footnoteRef/>
      </w:r>
      <w:r w:rsidRPr="009A0F2E">
        <w:rPr>
          <w:rFonts w:ascii="Arial" w:hAnsi="Arial" w:cs="Arial"/>
        </w:rPr>
        <w:t xml:space="preserve"> </w:t>
      </w:r>
      <w:r>
        <w:rPr>
          <w:rFonts w:ascii="Arial" w:hAnsi="Arial" w:cs="Arial"/>
        </w:rPr>
        <w:t>Ibid</w:t>
      </w:r>
    </w:p>
  </w:footnote>
  <w:footnote w:id="91">
    <w:p w14:paraId="231E2D65" w14:textId="77777777" w:rsidR="00456D5A" w:rsidRPr="009A0F2E" w:rsidRDefault="00456D5A" w:rsidP="003A44D3">
      <w:pPr>
        <w:pStyle w:val="FootnoteText"/>
        <w:ind w:left="1417"/>
        <w:rPr>
          <w:rFonts w:ascii="Arial" w:hAnsi="Arial" w:cs="Arial"/>
          <w:lang w:val="en-US"/>
        </w:rPr>
      </w:pPr>
      <w:r w:rsidRPr="009A0F2E">
        <w:rPr>
          <w:rStyle w:val="FootnoteReference"/>
          <w:rFonts w:ascii="Arial" w:hAnsi="Arial" w:cs="Arial"/>
        </w:rPr>
        <w:footnoteRef/>
      </w:r>
      <w:r w:rsidRPr="009A0F2E">
        <w:rPr>
          <w:rFonts w:ascii="Arial" w:hAnsi="Arial" w:cs="Arial"/>
        </w:rPr>
        <w:t xml:space="preserve"> B Muller-Wille,  “The Effect of International Terrorism on EU Intelligence Co-operation” (2008) 46 JCMS 49</w:t>
      </w:r>
    </w:p>
  </w:footnote>
  <w:footnote w:id="92">
    <w:p w14:paraId="57C04352" w14:textId="77777777" w:rsidR="00456D5A" w:rsidRPr="00FC5719" w:rsidRDefault="00456D5A" w:rsidP="00FC5719">
      <w:pPr>
        <w:pStyle w:val="FootnoteText"/>
        <w:ind w:left="1417"/>
        <w:rPr>
          <w:rFonts w:ascii="Arial" w:hAnsi="Arial" w:cs="Arial"/>
        </w:rPr>
      </w:pPr>
      <w:r w:rsidRPr="00FC5719">
        <w:rPr>
          <w:rStyle w:val="FootnoteReference"/>
          <w:rFonts w:ascii="Arial" w:hAnsi="Arial" w:cs="Arial"/>
        </w:rPr>
        <w:footnoteRef/>
      </w:r>
      <w:r w:rsidRPr="00FC5719">
        <w:rPr>
          <w:rFonts w:ascii="Arial" w:hAnsi="Arial" w:cs="Arial"/>
        </w:rPr>
        <w:t xml:space="preserve"> K Reid, “Race Issues and Stop and Search: Looking behi</w:t>
      </w:r>
      <w:r>
        <w:rPr>
          <w:rFonts w:ascii="Arial" w:hAnsi="Arial" w:cs="Arial"/>
        </w:rPr>
        <w:t xml:space="preserve">nd the Statistics” (2009) 73(2) </w:t>
      </w:r>
      <w:r w:rsidRPr="00FC5719">
        <w:rPr>
          <w:rFonts w:ascii="Arial" w:hAnsi="Arial" w:cs="Arial"/>
        </w:rPr>
        <w:t>The Journal of Criminal Law. 165</w:t>
      </w:r>
    </w:p>
  </w:footnote>
  <w:footnote w:id="93">
    <w:p w14:paraId="05E39382" w14:textId="77777777" w:rsidR="00456D5A" w:rsidRPr="00BD4C9F" w:rsidRDefault="00456D5A" w:rsidP="00FC5719">
      <w:pPr>
        <w:pStyle w:val="FootnoteText"/>
        <w:ind w:left="1417"/>
        <w:rPr>
          <w:rFonts w:ascii="Arial" w:hAnsi="Arial" w:cs="Arial"/>
        </w:rPr>
      </w:pPr>
      <w:r w:rsidRPr="00BD4C9F">
        <w:rPr>
          <w:rStyle w:val="FootnoteReference"/>
          <w:rFonts w:ascii="Arial" w:hAnsi="Arial" w:cs="Arial"/>
        </w:rPr>
        <w:footnoteRef/>
      </w:r>
      <w:r w:rsidRPr="00BD4C9F">
        <w:rPr>
          <w:rFonts w:ascii="Arial" w:hAnsi="Arial" w:cs="Arial"/>
        </w:rPr>
        <w:t xml:space="preserve"> Ibid</w:t>
      </w:r>
    </w:p>
  </w:footnote>
  <w:footnote w:id="94">
    <w:p w14:paraId="069E993A" w14:textId="77777777" w:rsidR="00456D5A" w:rsidRPr="009A0F2E" w:rsidRDefault="00456D5A" w:rsidP="003A44D3">
      <w:pPr>
        <w:pStyle w:val="FootnoteText"/>
        <w:ind w:left="1417"/>
        <w:rPr>
          <w:rFonts w:ascii="Arial" w:hAnsi="Arial" w:cs="Arial"/>
          <w:lang w:val="en-US"/>
        </w:rPr>
      </w:pPr>
      <w:r w:rsidRPr="009A0F2E">
        <w:rPr>
          <w:rStyle w:val="FootnoteReference"/>
          <w:rFonts w:ascii="Arial" w:hAnsi="Arial" w:cs="Arial"/>
        </w:rPr>
        <w:footnoteRef/>
      </w:r>
      <w:r w:rsidRPr="009A0F2E">
        <w:rPr>
          <w:rFonts w:ascii="Arial" w:hAnsi="Arial" w:cs="Arial"/>
        </w:rPr>
        <w:t xml:space="preserve"> </w:t>
      </w:r>
      <w:r w:rsidRPr="00AB720E">
        <w:rPr>
          <w:rFonts w:ascii="Arial" w:hAnsi="Arial" w:cs="Arial"/>
        </w:rPr>
        <w:t>N Bland, J Miller, P Quinton (2000) Upping the PACE? An Evaluation of the Stephen Lawrence Inquiry on Stops and Searches Police Research Series Paper No. 128. London: Home Office</w:t>
      </w:r>
    </w:p>
  </w:footnote>
  <w:footnote w:id="95">
    <w:p w14:paraId="0D6905FD" w14:textId="77777777" w:rsidR="00456D5A" w:rsidRPr="009A0F2E" w:rsidRDefault="00456D5A" w:rsidP="003A44D3">
      <w:pPr>
        <w:pStyle w:val="FootnoteText"/>
        <w:ind w:left="1417"/>
        <w:rPr>
          <w:rFonts w:ascii="Arial" w:hAnsi="Arial" w:cs="Arial"/>
        </w:rPr>
      </w:pPr>
      <w:r w:rsidRPr="009A0F2E">
        <w:rPr>
          <w:rStyle w:val="FootnoteReference"/>
          <w:rFonts w:ascii="Arial" w:hAnsi="Arial" w:cs="Arial"/>
        </w:rPr>
        <w:footnoteRef/>
      </w:r>
      <w:r w:rsidRPr="009A0F2E">
        <w:rPr>
          <w:rFonts w:ascii="Arial" w:hAnsi="Arial" w:cs="Arial"/>
        </w:rPr>
        <w:t xml:space="preserve"> </w:t>
      </w:r>
      <w:r w:rsidRPr="0000003B">
        <w:rPr>
          <w:rFonts w:ascii="Arial" w:hAnsi="Arial" w:cs="Arial"/>
        </w:rPr>
        <w:t>R N Kocsis, “Criminal Psychological Profiling: Validities and Abilities” (2003) 47(2) International Journal Offender Therapy and Comparative Criminology 126</w:t>
      </w:r>
    </w:p>
  </w:footnote>
  <w:footnote w:id="96">
    <w:p w14:paraId="11176C11" w14:textId="77777777" w:rsidR="00456D5A" w:rsidRPr="00231781" w:rsidRDefault="00456D5A" w:rsidP="00231781">
      <w:pPr>
        <w:pStyle w:val="FootnoteText"/>
        <w:ind w:left="1417"/>
        <w:rPr>
          <w:rFonts w:ascii="Arial" w:hAnsi="Arial" w:cs="Arial"/>
          <w:lang w:val="en-US"/>
        </w:rPr>
      </w:pPr>
      <w:r w:rsidRPr="00231781">
        <w:rPr>
          <w:rStyle w:val="FootnoteReference"/>
          <w:rFonts w:ascii="Arial" w:hAnsi="Arial" w:cs="Arial"/>
        </w:rPr>
        <w:footnoteRef/>
      </w:r>
      <w:r w:rsidRPr="00231781">
        <w:rPr>
          <w:rFonts w:ascii="Arial" w:hAnsi="Arial" w:cs="Arial"/>
        </w:rPr>
        <w:t xml:space="preserve"> </w:t>
      </w:r>
      <w:r>
        <w:rPr>
          <w:rFonts w:ascii="Arial" w:hAnsi="Arial" w:cs="Arial"/>
        </w:rPr>
        <w:t xml:space="preserve"> </w:t>
      </w:r>
      <w:r w:rsidRPr="00231781">
        <w:rPr>
          <w:rFonts w:ascii="Arial" w:hAnsi="Arial" w:cs="Arial"/>
        </w:rPr>
        <w:t>D Moeckli, “Stop and Search under the Terrorism Act 2000: A Comment on R (Gillan) v Commissioner of Police for the Metropolis” (2007</w:t>
      </w:r>
      <w:r>
        <w:rPr>
          <w:rFonts w:ascii="Arial" w:hAnsi="Arial" w:cs="Arial"/>
        </w:rPr>
        <w:t>) 70(4) Modern Law Review, 659</w:t>
      </w:r>
    </w:p>
  </w:footnote>
  <w:footnote w:id="97">
    <w:p w14:paraId="4A9981A5" w14:textId="77777777" w:rsidR="00456D5A" w:rsidRPr="00231781" w:rsidRDefault="00456D5A" w:rsidP="00231781">
      <w:pPr>
        <w:pStyle w:val="FootnoteText"/>
        <w:ind w:left="1417"/>
        <w:rPr>
          <w:rFonts w:ascii="Arial" w:hAnsi="Arial" w:cs="Arial"/>
          <w:lang w:val="en-US"/>
        </w:rPr>
      </w:pPr>
      <w:r w:rsidRPr="00231781">
        <w:rPr>
          <w:rStyle w:val="FootnoteReference"/>
          <w:rFonts w:ascii="Arial" w:hAnsi="Arial" w:cs="Arial"/>
        </w:rPr>
        <w:footnoteRef/>
      </w:r>
      <w:r w:rsidRPr="00231781">
        <w:rPr>
          <w:rFonts w:ascii="Arial" w:hAnsi="Arial" w:cs="Arial"/>
        </w:rPr>
        <w:t xml:space="preserve">  </w:t>
      </w:r>
      <w:r>
        <w:t>Ibid</w:t>
      </w:r>
    </w:p>
  </w:footnote>
  <w:footnote w:id="98">
    <w:p w14:paraId="7E0F7CFE" w14:textId="77777777" w:rsidR="00456D5A" w:rsidRPr="00231781" w:rsidRDefault="00456D5A" w:rsidP="00231781">
      <w:pPr>
        <w:pStyle w:val="FootnoteText"/>
        <w:ind w:left="1417"/>
        <w:rPr>
          <w:rFonts w:ascii="Arial" w:hAnsi="Arial" w:cs="Arial"/>
          <w:lang w:val="en-US"/>
        </w:rPr>
      </w:pPr>
      <w:r w:rsidRPr="00231781">
        <w:rPr>
          <w:rStyle w:val="FootnoteReference"/>
          <w:rFonts w:ascii="Arial" w:hAnsi="Arial" w:cs="Arial"/>
        </w:rPr>
        <w:footnoteRef/>
      </w:r>
      <w:r w:rsidRPr="00231781">
        <w:rPr>
          <w:rFonts w:ascii="Arial" w:hAnsi="Arial" w:cs="Arial"/>
        </w:rPr>
        <w:t xml:space="preserve"> S J  Ellmann, “Racial Profiling and Terrorism”  (2003) 46 N.Y. Law School  Review 675</w:t>
      </w:r>
    </w:p>
  </w:footnote>
  <w:footnote w:id="99">
    <w:p w14:paraId="333B0540" w14:textId="77777777" w:rsidR="00456D5A" w:rsidRPr="00DB55BC" w:rsidRDefault="00456D5A" w:rsidP="00231781">
      <w:pPr>
        <w:pStyle w:val="FootnoteText"/>
        <w:ind w:left="1417"/>
        <w:rPr>
          <w:lang w:val="en-US"/>
        </w:rPr>
      </w:pPr>
      <w:r w:rsidRPr="00231781">
        <w:rPr>
          <w:rStyle w:val="FootnoteReference"/>
          <w:rFonts w:ascii="Arial" w:hAnsi="Arial" w:cs="Arial"/>
        </w:rPr>
        <w:footnoteRef/>
      </w:r>
      <w:r w:rsidRPr="00231781">
        <w:rPr>
          <w:rFonts w:ascii="Arial" w:hAnsi="Arial" w:cs="Arial"/>
        </w:rPr>
        <w:t xml:space="preserve"> P. A. J. Waddington and others “In proportion: race, and police stop and search” (2004) 44 (6) British Journal of Criminology 889</w:t>
      </w:r>
    </w:p>
  </w:footnote>
  <w:footnote w:id="100">
    <w:p w14:paraId="7A452E28" w14:textId="77777777" w:rsidR="00456D5A" w:rsidRPr="00357CA4" w:rsidRDefault="00456D5A" w:rsidP="00357CA4">
      <w:pPr>
        <w:pStyle w:val="FootnoteText"/>
        <w:ind w:left="1417"/>
        <w:rPr>
          <w:rFonts w:ascii="Arial" w:hAnsi="Arial" w:cs="Arial"/>
          <w:lang w:val="it-IT"/>
        </w:rPr>
      </w:pPr>
      <w:r w:rsidRPr="00357CA4">
        <w:rPr>
          <w:rStyle w:val="FootnoteReference"/>
          <w:rFonts w:ascii="Arial" w:hAnsi="Arial" w:cs="Arial"/>
        </w:rPr>
        <w:footnoteRef/>
      </w:r>
      <w:r w:rsidRPr="00357CA4">
        <w:rPr>
          <w:rFonts w:ascii="Arial" w:hAnsi="Arial" w:cs="Arial"/>
        </w:rPr>
        <w:t xml:space="preserve"> </w:t>
      </w:r>
      <w:r w:rsidRPr="00357CA4">
        <w:rPr>
          <w:rFonts w:ascii="Arial" w:hAnsi="Arial" w:cs="Arial"/>
          <w:lang w:val="it-IT"/>
        </w:rPr>
        <w:t>Terrorism Act 2000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6CABC" w14:textId="77777777" w:rsidR="009F6FB4" w:rsidRDefault="009F6FB4" w:rsidP="009F6FB4">
    <w:pPr>
      <w:pStyle w:val="Header"/>
      <w:tabs>
        <w:tab w:val="clear" w:pos="4819"/>
        <w:tab w:val="clear" w:pos="9638"/>
        <w:tab w:val="left" w:pos="3516"/>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215"/>
    <w:multiLevelType w:val="hybridMultilevel"/>
    <w:tmpl w:val="8DC665BE"/>
    <w:lvl w:ilvl="0" w:tplc="4D4487A6">
      <w:start w:val="1"/>
      <w:numFmt w:val="decimal"/>
      <w:lvlText w:val="%1)"/>
      <w:lvlJc w:val="left"/>
      <w:pPr>
        <w:ind w:left="1777" w:hanging="360"/>
      </w:pPr>
      <w:rPr>
        <w:rFonts w:hint="default"/>
      </w:rPr>
    </w:lvl>
    <w:lvl w:ilvl="1" w:tplc="04100019" w:tentative="1">
      <w:start w:val="1"/>
      <w:numFmt w:val="lowerLetter"/>
      <w:lvlText w:val="%2."/>
      <w:lvlJc w:val="left"/>
      <w:pPr>
        <w:ind w:left="2497" w:hanging="360"/>
      </w:pPr>
    </w:lvl>
    <w:lvl w:ilvl="2" w:tplc="0410001B" w:tentative="1">
      <w:start w:val="1"/>
      <w:numFmt w:val="lowerRoman"/>
      <w:lvlText w:val="%3."/>
      <w:lvlJc w:val="right"/>
      <w:pPr>
        <w:ind w:left="3217" w:hanging="180"/>
      </w:pPr>
    </w:lvl>
    <w:lvl w:ilvl="3" w:tplc="0410000F" w:tentative="1">
      <w:start w:val="1"/>
      <w:numFmt w:val="decimal"/>
      <w:lvlText w:val="%4."/>
      <w:lvlJc w:val="left"/>
      <w:pPr>
        <w:ind w:left="3937" w:hanging="360"/>
      </w:pPr>
    </w:lvl>
    <w:lvl w:ilvl="4" w:tplc="04100019" w:tentative="1">
      <w:start w:val="1"/>
      <w:numFmt w:val="lowerLetter"/>
      <w:lvlText w:val="%5."/>
      <w:lvlJc w:val="left"/>
      <w:pPr>
        <w:ind w:left="4657" w:hanging="360"/>
      </w:pPr>
    </w:lvl>
    <w:lvl w:ilvl="5" w:tplc="0410001B" w:tentative="1">
      <w:start w:val="1"/>
      <w:numFmt w:val="lowerRoman"/>
      <w:lvlText w:val="%6."/>
      <w:lvlJc w:val="right"/>
      <w:pPr>
        <w:ind w:left="5377" w:hanging="180"/>
      </w:pPr>
    </w:lvl>
    <w:lvl w:ilvl="6" w:tplc="0410000F" w:tentative="1">
      <w:start w:val="1"/>
      <w:numFmt w:val="decimal"/>
      <w:lvlText w:val="%7."/>
      <w:lvlJc w:val="left"/>
      <w:pPr>
        <w:ind w:left="6097" w:hanging="360"/>
      </w:pPr>
    </w:lvl>
    <w:lvl w:ilvl="7" w:tplc="04100019" w:tentative="1">
      <w:start w:val="1"/>
      <w:numFmt w:val="lowerLetter"/>
      <w:lvlText w:val="%8."/>
      <w:lvlJc w:val="left"/>
      <w:pPr>
        <w:ind w:left="6817" w:hanging="360"/>
      </w:pPr>
    </w:lvl>
    <w:lvl w:ilvl="8" w:tplc="0410001B" w:tentative="1">
      <w:start w:val="1"/>
      <w:numFmt w:val="lowerRoman"/>
      <w:lvlText w:val="%9."/>
      <w:lvlJc w:val="right"/>
      <w:pPr>
        <w:ind w:left="7537" w:hanging="180"/>
      </w:pPr>
    </w:lvl>
  </w:abstractNum>
  <w:abstractNum w:abstractNumId="1">
    <w:nsid w:val="06E40BE0"/>
    <w:multiLevelType w:val="hybridMultilevel"/>
    <w:tmpl w:val="B6488A8E"/>
    <w:lvl w:ilvl="0" w:tplc="F63033BA">
      <w:start w:val="1"/>
      <w:numFmt w:val="decimal"/>
      <w:lvlText w:val="%1."/>
      <w:lvlJc w:val="left"/>
      <w:pPr>
        <w:ind w:left="1777" w:hanging="360"/>
      </w:pPr>
      <w:rPr>
        <w:rFonts w:hint="default"/>
      </w:rPr>
    </w:lvl>
    <w:lvl w:ilvl="1" w:tplc="04100019" w:tentative="1">
      <w:start w:val="1"/>
      <w:numFmt w:val="lowerLetter"/>
      <w:lvlText w:val="%2."/>
      <w:lvlJc w:val="left"/>
      <w:pPr>
        <w:ind w:left="2497" w:hanging="360"/>
      </w:pPr>
    </w:lvl>
    <w:lvl w:ilvl="2" w:tplc="0410001B" w:tentative="1">
      <w:start w:val="1"/>
      <w:numFmt w:val="lowerRoman"/>
      <w:lvlText w:val="%3."/>
      <w:lvlJc w:val="right"/>
      <w:pPr>
        <w:ind w:left="3217" w:hanging="180"/>
      </w:pPr>
    </w:lvl>
    <w:lvl w:ilvl="3" w:tplc="0410000F" w:tentative="1">
      <w:start w:val="1"/>
      <w:numFmt w:val="decimal"/>
      <w:lvlText w:val="%4."/>
      <w:lvlJc w:val="left"/>
      <w:pPr>
        <w:ind w:left="3937" w:hanging="360"/>
      </w:pPr>
    </w:lvl>
    <w:lvl w:ilvl="4" w:tplc="04100019" w:tentative="1">
      <w:start w:val="1"/>
      <w:numFmt w:val="lowerLetter"/>
      <w:lvlText w:val="%5."/>
      <w:lvlJc w:val="left"/>
      <w:pPr>
        <w:ind w:left="4657" w:hanging="360"/>
      </w:pPr>
    </w:lvl>
    <w:lvl w:ilvl="5" w:tplc="0410001B" w:tentative="1">
      <w:start w:val="1"/>
      <w:numFmt w:val="lowerRoman"/>
      <w:lvlText w:val="%6."/>
      <w:lvlJc w:val="right"/>
      <w:pPr>
        <w:ind w:left="5377" w:hanging="180"/>
      </w:pPr>
    </w:lvl>
    <w:lvl w:ilvl="6" w:tplc="0410000F" w:tentative="1">
      <w:start w:val="1"/>
      <w:numFmt w:val="decimal"/>
      <w:lvlText w:val="%7."/>
      <w:lvlJc w:val="left"/>
      <w:pPr>
        <w:ind w:left="6097" w:hanging="360"/>
      </w:pPr>
    </w:lvl>
    <w:lvl w:ilvl="7" w:tplc="04100019" w:tentative="1">
      <w:start w:val="1"/>
      <w:numFmt w:val="lowerLetter"/>
      <w:lvlText w:val="%8."/>
      <w:lvlJc w:val="left"/>
      <w:pPr>
        <w:ind w:left="6817" w:hanging="360"/>
      </w:pPr>
    </w:lvl>
    <w:lvl w:ilvl="8" w:tplc="0410001B" w:tentative="1">
      <w:start w:val="1"/>
      <w:numFmt w:val="lowerRoman"/>
      <w:lvlText w:val="%9."/>
      <w:lvlJc w:val="right"/>
      <w:pPr>
        <w:ind w:left="7537" w:hanging="180"/>
      </w:pPr>
    </w:lvl>
  </w:abstractNum>
  <w:abstractNum w:abstractNumId="2">
    <w:nsid w:val="0722604F"/>
    <w:multiLevelType w:val="hybridMultilevel"/>
    <w:tmpl w:val="E400754E"/>
    <w:lvl w:ilvl="0" w:tplc="04100001">
      <w:start w:val="1"/>
      <w:numFmt w:val="bullet"/>
      <w:lvlText w:val=""/>
      <w:lvlJc w:val="left"/>
      <w:pPr>
        <w:ind w:left="2497" w:hanging="360"/>
      </w:pPr>
      <w:rPr>
        <w:rFonts w:ascii="Symbol" w:hAnsi="Symbol" w:hint="default"/>
      </w:rPr>
    </w:lvl>
    <w:lvl w:ilvl="1" w:tplc="04100003" w:tentative="1">
      <w:start w:val="1"/>
      <w:numFmt w:val="bullet"/>
      <w:lvlText w:val="o"/>
      <w:lvlJc w:val="left"/>
      <w:pPr>
        <w:ind w:left="3217" w:hanging="360"/>
      </w:pPr>
      <w:rPr>
        <w:rFonts w:ascii="Courier New" w:hAnsi="Courier New" w:cs="Courier New" w:hint="default"/>
      </w:rPr>
    </w:lvl>
    <w:lvl w:ilvl="2" w:tplc="04100005" w:tentative="1">
      <w:start w:val="1"/>
      <w:numFmt w:val="bullet"/>
      <w:lvlText w:val=""/>
      <w:lvlJc w:val="left"/>
      <w:pPr>
        <w:ind w:left="3937" w:hanging="360"/>
      </w:pPr>
      <w:rPr>
        <w:rFonts w:ascii="Wingdings" w:hAnsi="Wingdings" w:hint="default"/>
      </w:rPr>
    </w:lvl>
    <w:lvl w:ilvl="3" w:tplc="04100001" w:tentative="1">
      <w:start w:val="1"/>
      <w:numFmt w:val="bullet"/>
      <w:lvlText w:val=""/>
      <w:lvlJc w:val="left"/>
      <w:pPr>
        <w:ind w:left="4657" w:hanging="360"/>
      </w:pPr>
      <w:rPr>
        <w:rFonts w:ascii="Symbol" w:hAnsi="Symbol" w:hint="default"/>
      </w:rPr>
    </w:lvl>
    <w:lvl w:ilvl="4" w:tplc="04100003" w:tentative="1">
      <w:start w:val="1"/>
      <w:numFmt w:val="bullet"/>
      <w:lvlText w:val="o"/>
      <w:lvlJc w:val="left"/>
      <w:pPr>
        <w:ind w:left="5377" w:hanging="360"/>
      </w:pPr>
      <w:rPr>
        <w:rFonts w:ascii="Courier New" w:hAnsi="Courier New" w:cs="Courier New" w:hint="default"/>
      </w:rPr>
    </w:lvl>
    <w:lvl w:ilvl="5" w:tplc="04100005" w:tentative="1">
      <w:start w:val="1"/>
      <w:numFmt w:val="bullet"/>
      <w:lvlText w:val=""/>
      <w:lvlJc w:val="left"/>
      <w:pPr>
        <w:ind w:left="6097" w:hanging="360"/>
      </w:pPr>
      <w:rPr>
        <w:rFonts w:ascii="Wingdings" w:hAnsi="Wingdings" w:hint="default"/>
      </w:rPr>
    </w:lvl>
    <w:lvl w:ilvl="6" w:tplc="04100001" w:tentative="1">
      <w:start w:val="1"/>
      <w:numFmt w:val="bullet"/>
      <w:lvlText w:val=""/>
      <w:lvlJc w:val="left"/>
      <w:pPr>
        <w:ind w:left="6817" w:hanging="360"/>
      </w:pPr>
      <w:rPr>
        <w:rFonts w:ascii="Symbol" w:hAnsi="Symbol" w:hint="default"/>
      </w:rPr>
    </w:lvl>
    <w:lvl w:ilvl="7" w:tplc="04100003" w:tentative="1">
      <w:start w:val="1"/>
      <w:numFmt w:val="bullet"/>
      <w:lvlText w:val="o"/>
      <w:lvlJc w:val="left"/>
      <w:pPr>
        <w:ind w:left="7537" w:hanging="360"/>
      </w:pPr>
      <w:rPr>
        <w:rFonts w:ascii="Courier New" w:hAnsi="Courier New" w:cs="Courier New" w:hint="default"/>
      </w:rPr>
    </w:lvl>
    <w:lvl w:ilvl="8" w:tplc="04100005" w:tentative="1">
      <w:start w:val="1"/>
      <w:numFmt w:val="bullet"/>
      <w:lvlText w:val=""/>
      <w:lvlJc w:val="left"/>
      <w:pPr>
        <w:ind w:left="8257" w:hanging="360"/>
      </w:pPr>
      <w:rPr>
        <w:rFonts w:ascii="Wingdings" w:hAnsi="Wingdings" w:hint="default"/>
      </w:rPr>
    </w:lvl>
  </w:abstractNum>
  <w:abstractNum w:abstractNumId="3">
    <w:nsid w:val="10221C83"/>
    <w:multiLevelType w:val="hybridMultilevel"/>
    <w:tmpl w:val="B6488A8E"/>
    <w:lvl w:ilvl="0" w:tplc="F63033BA">
      <w:start w:val="1"/>
      <w:numFmt w:val="decimal"/>
      <w:lvlText w:val="%1."/>
      <w:lvlJc w:val="left"/>
      <w:pPr>
        <w:ind w:left="1777" w:hanging="360"/>
      </w:pPr>
      <w:rPr>
        <w:rFonts w:hint="default"/>
      </w:rPr>
    </w:lvl>
    <w:lvl w:ilvl="1" w:tplc="04100019" w:tentative="1">
      <w:start w:val="1"/>
      <w:numFmt w:val="lowerLetter"/>
      <w:lvlText w:val="%2."/>
      <w:lvlJc w:val="left"/>
      <w:pPr>
        <w:ind w:left="2497" w:hanging="360"/>
      </w:pPr>
    </w:lvl>
    <w:lvl w:ilvl="2" w:tplc="0410001B" w:tentative="1">
      <w:start w:val="1"/>
      <w:numFmt w:val="lowerRoman"/>
      <w:lvlText w:val="%3."/>
      <w:lvlJc w:val="right"/>
      <w:pPr>
        <w:ind w:left="3217" w:hanging="180"/>
      </w:pPr>
    </w:lvl>
    <w:lvl w:ilvl="3" w:tplc="0410000F" w:tentative="1">
      <w:start w:val="1"/>
      <w:numFmt w:val="decimal"/>
      <w:lvlText w:val="%4."/>
      <w:lvlJc w:val="left"/>
      <w:pPr>
        <w:ind w:left="3937" w:hanging="360"/>
      </w:pPr>
    </w:lvl>
    <w:lvl w:ilvl="4" w:tplc="04100019" w:tentative="1">
      <w:start w:val="1"/>
      <w:numFmt w:val="lowerLetter"/>
      <w:lvlText w:val="%5."/>
      <w:lvlJc w:val="left"/>
      <w:pPr>
        <w:ind w:left="4657" w:hanging="360"/>
      </w:pPr>
    </w:lvl>
    <w:lvl w:ilvl="5" w:tplc="0410001B" w:tentative="1">
      <w:start w:val="1"/>
      <w:numFmt w:val="lowerRoman"/>
      <w:lvlText w:val="%6."/>
      <w:lvlJc w:val="right"/>
      <w:pPr>
        <w:ind w:left="5377" w:hanging="180"/>
      </w:pPr>
    </w:lvl>
    <w:lvl w:ilvl="6" w:tplc="0410000F" w:tentative="1">
      <w:start w:val="1"/>
      <w:numFmt w:val="decimal"/>
      <w:lvlText w:val="%7."/>
      <w:lvlJc w:val="left"/>
      <w:pPr>
        <w:ind w:left="6097" w:hanging="360"/>
      </w:pPr>
    </w:lvl>
    <w:lvl w:ilvl="7" w:tplc="04100019" w:tentative="1">
      <w:start w:val="1"/>
      <w:numFmt w:val="lowerLetter"/>
      <w:lvlText w:val="%8."/>
      <w:lvlJc w:val="left"/>
      <w:pPr>
        <w:ind w:left="6817" w:hanging="360"/>
      </w:pPr>
    </w:lvl>
    <w:lvl w:ilvl="8" w:tplc="0410001B" w:tentative="1">
      <w:start w:val="1"/>
      <w:numFmt w:val="lowerRoman"/>
      <w:lvlText w:val="%9."/>
      <w:lvlJc w:val="right"/>
      <w:pPr>
        <w:ind w:left="7537" w:hanging="180"/>
      </w:pPr>
    </w:lvl>
  </w:abstractNum>
  <w:abstractNum w:abstractNumId="4">
    <w:nsid w:val="14A54414"/>
    <w:multiLevelType w:val="hybridMultilevel"/>
    <w:tmpl w:val="0C5C9464"/>
    <w:lvl w:ilvl="0" w:tplc="BDAE669C">
      <w:start w:val="1"/>
      <w:numFmt w:val="decimal"/>
      <w:lvlText w:val="%1."/>
      <w:lvlJc w:val="left"/>
      <w:pPr>
        <w:ind w:left="1777" w:hanging="360"/>
      </w:pPr>
      <w:rPr>
        <w:rFonts w:hint="default"/>
      </w:rPr>
    </w:lvl>
    <w:lvl w:ilvl="1" w:tplc="04100019" w:tentative="1">
      <w:start w:val="1"/>
      <w:numFmt w:val="lowerLetter"/>
      <w:lvlText w:val="%2."/>
      <w:lvlJc w:val="left"/>
      <w:pPr>
        <w:ind w:left="2497" w:hanging="360"/>
      </w:pPr>
    </w:lvl>
    <w:lvl w:ilvl="2" w:tplc="0410001B" w:tentative="1">
      <w:start w:val="1"/>
      <w:numFmt w:val="lowerRoman"/>
      <w:lvlText w:val="%3."/>
      <w:lvlJc w:val="right"/>
      <w:pPr>
        <w:ind w:left="3217" w:hanging="180"/>
      </w:pPr>
    </w:lvl>
    <w:lvl w:ilvl="3" w:tplc="0410000F" w:tentative="1">
      <w:start w:val="1"/>
      <w:numFmt w:val="decimal"/>
      <w:lvlText w:val="%4."/>
      <w:lvlJc w:val="left"/>
      <w:pPr>
        <w:ind w:left="3937" w:hanging="360"/>
      </w:pPr>
    </w:lvl>
    <w:lvl w:ilvl="4" w:tplc="04100019" w:tentative="1">
      <w:start w:val="1"/>
      <w:numFmt w:val="lowerLetter"/>
      <w:lvlText w:val="%5."/>
      <w:lvlJc w:val="left"/>
      <w:pPr>
        <w:ind w:left="4657" w:hanging="360"/>
      </w:pPr>
    </w:lvl>
    <w:lvl w:ilvl="5" w:tplc="0410001B" w:tentative="1">
      <w:start w:val="1"/>
      <w:numFmt w:val="lowerRoman"/>
      <w:lvlText w:val="%6."/>
      <w:lvlJc w:val="right"/>
      <w:pPr>
        <w:ind w:left="5377" w:hanging="180"/>
      </w:pPr>
    </w:lvl>
    <w:lvl w:ilvl="6" w:tplc="0410000F" w:tentative="1">
      <w:start w:val="1"/>
      <w:numFmt w:val="decimal"/>
      <w:lvlText w:val="%7."/>
      <w:lvlJc w:val="left"/>
      <w:pPr>
        <w:ind w:left="6097" w:hanging="360"/>
      </w:pPr>
    </w:lvl>
    <w:lvl w:ilvl="7" w:tplc="04100019" w:tentative="1">
      <w:start w:val="1"/>
      <w:numFmt w:val="lowerLetter"/>
      <w:lvlText w:val="%8."/>
      <w:lvlJc w:val="left"/>
      <w:pPr>
        <w:ind w:left="6817" w:hanging="360"/>
      </w:pPr>
    </w:lvl>
    <w:lvl w:ilvl="8" w:tplc="0410001B" w:tentative="1">
      <w:start w:val="1"/>
      <w:numFmt w:val="lowerRoman"/>
      <w:lvlText w:val="%9."/>
      <w:lvlJc w:val="right"/>
      <w:pPr>
        <w:ind w:left="7537" w:hanging="180"/>
      </w:pPr>
    </w:lvl>
  </w:abstractNum>
  <w:abstractNum w:abstractNumId="5">
    <w:nsid w:val="1AEF0364"/>
    <w:multiLevelType w:val="hybridMultilevel"/>
    <w:tmpl w:val="73AE41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2121BC"/>
    <w:multiLevelType w:val="hybridMultilevel"/>
    <w:tmpl w:val="03008D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1317DAB"/>
    <w:multiLevelType w:val="hybridMultilevel"/>
    <w:tmpl w:val="D4CAD666"/>
    <w:lvl w:ilvl="0" w:tplc="7DE4F6B4">
      <w:start w:val="1"/>
      <w:numFmt w:val="decimal"/>
      <w:lvlText w:val="%1."/>
      <w:lvlJc w:val="left"/>
      <w:pPr>
        <w:ind w:left="1777" w:hanging="360"/>
      </w:pPr>
      <w:rPr>
        <w:rFonts w:asciiTheme="minorHAnsi" w:eastAsiaTheme="minorHAnsi" w:hAnsiTheme="minorHAnsi" w:cstheme="minorBidi"/>
        <w:i w:val="0"/>
      </w:rPr>
    </w:lvl>
    <w:lvl w:ilvl="1" w:tplc="04100019" w:tentative="1">
      <w:start w:val="1"/>
      <w:numFmt w:val="lowerLetter"/>
      <w:lvlText w:val="%2."/>
      <w:lvlJc w:val="left"/>
      <w:pPr>
        <w:ind w:left="2497" w:hanging="360"/>
      </w:pPr>
    </w:lvl>
    <w:lvl w:ilvl="2" w:tplc="0410001B" w:tentative="1">
      <w:start w:val="1"/>
      <w:numFmt w:val="lowerRoman"/>
      <w:lvlText w:val="%3."/>
      <w:lvlJc w:val="right"/>
      <w:pPr>
        <w:ind w:left="3217" w:hanging="180"/>
      </w:pPr>
    </w:lvl>
    <w:lvl w:ilvl="3" w:tplc="0410000F" w:tentative="1">
      <w:start w:val="1"/>
      <w:numFmt w:val="decimal"/>
      <w:lvlText w:val="%4."/>
      <w:lvlJc w:val="left"/>
      <w:pPr>
        <w:ind w:left="3937" w:hanging="360"/>
      </w:pPr>
    </w:lvl>
    <w:lvl w:ilvl="4" w:tplc="04100019" w:tentative="1">
      <w:start w:val="1"/>
      <w:numFmt w:val="lowerLetter"/>
      <w:lvlText w:val="%5."/>
      <w:lvlJc w:val="left"/>
      <w:pPr>
        <w:ind w:left="4657" w:hanging="360"/>
      </w:pPr>
    </w:lvl>
    <w:lvl w:ilvl="5" w:tplc="0410001B" w:tentative="1">
      <w:start w:val="1"/>
      <w:numFmt w:val="lowerRoman"/>
      <w:lvlText w:val="%6."/>
      <w:lvlJc w:val="right"/>
      <w:pPr>
        <w:ind w:left="5377" w:hanging="180"/>
      </w:pPr>
    </w:lvl>
    <w:lvl w:ilvl="6" w:tplc="0410000F" w:tentative="1">
      <w:start w:val="1"/>
      <w:numFmt w:val="decimal"/>
      <w:lvlText w:val="%7."/>
      <w:lvlJc w:val="left"/>
      <w:pPr>
        <w:ind w:left="6097" w:hanging="360"/>
      </w:pPr>
    </w:lvl>
    <w:lvl w:ilvl="7" w:tplc="04100019" w:tentative="1">
      <w:start w:val="1"/>
      <w:numFmt w:val="lowerLetter"/>
      <w:lvlText w:val="%8."/>
      <w:lvlJc w:val="left"/>
      <w:pPr>
        <w:ind w:left="6817" w:hanging="360"/>
      </w:pPr>
    </w:lvl>
    <w:lvl w:ilvl="8" w:tplc="0410001B" w:tentative="1">
      <w:start w:val="1"/>
      <w:numFmt w:val="lowerRoman"/>
      <w:lvlText w:val="%9."/>
      <w:lvlJc w:val="right"/>
      <w:pPr>
        <w:ind w:left="7537" w:hanging="180"/>
      </w:pPr>
    </w:lvl>
  </w:abstractNum>
  <w:abstractNum w:abstractNumId="8">
    <w:nsid w:val="23507C83"/>
    <w:multiLevelType w:val="hybridMultilevel"/>
    <w:tmpl w:val="A6D025EC"/>
    <w:lvl w:ilvl="0" w:tplc="56B6026E">
      <w:start w:val="1"/>
      <w:numFmt w:val="decimal"/>
      <w:lvlText w:val="%1."/>
      <w:lvlJc w:val="left"/>
      <w:pPr>
        <w:ind w:left="1777" w:hanging="360"/>
      </w:pPr>
      <w:rPr>
        <w:rFonts w:hint="default"/>
      </w:rPr>
    </w:lvl>
    <w:lvl w:ilvl="1" w:tplc="04100019" w:tentative="1">
      <w:start w:val="1"/>
      <w:numFmt w:val="lowerLetter"/>
      <w:lvlText w:val="%2."/>
      <w:lvlJc w:val="left"/>
      <w:pPr>
        <w:ind w:left="2497" w:hanging="360"/>
      </w:pPr>
    </w:lvl>
    <w:lvl w:ilvl="2" w:tplc="0410001B" w:tentative="1">
      <w:start w:val="1"/>
      <w:numFmt w:val="lowerRoman"/>
      <w:lvlText w:val="%3."/>
      <w:lvlJc w:val="right"/>
      <w:pPr>
        <w:ind w:left="3217" w:hanging="180"/>
      </w:pPr>
    </w:lvl>
    <w:lvl w:ilvl="3" w:tplc="0410000F" w:tentative="1">
      <w:start w:val="1"/>
      <w:numFmt w:val="decimal"/>
      <w:lvlText w:val="%4."/>
      <w:lvlJc w:val="left"/>
      <w:pPr>
        <w:ind w:left="3937" w:hanging="360"/>
      </w:pPr>
    </w:lvl>
    <w:lvl w:ilvl="4" w:tplc="04100019" w:tentative="1">
      <w:start w:val="1"/>
      <w:numFmt w:val="lowerLetter"/>
      <w:lvlText w:val="%5."/>
      <w:lvlJc w:val="left"/>
      <w:pPr>
        <w:ind w:left="4657" w:hanging="360"/>
      </w:pPr>
    </w:lvl>
    <w:lvl w:ilvl="5" w:tplc="0410001B" w:tentative="1">
      <w:start w:val="1"/>
      <w:numFmt w:val="lowerRoman"/>
      <w:lvlText w:val="%6."/>
      <w:lvlJc w:val="right"/>
      <w:pPr>
        <w:ind w:left="5377" w:hanging="180"/>
      </w:pPr>
    </w:lvl>
    <w:lvl w:ilvl="6" w:tplc="0410000F" w:tentative="1">
      <w:start w:val="1"/>
      <w:numFmt w:val="decimal"/>
      <w:lvlText w:val="%7."/>
      <w:lvlJc w:val="left"/>
      <w:pPr>
        <w:ind w:left="6097" w:hanging="360"/>
      </w:pPr>
    </w:lvl>
    <w:lvl w:ilvl="7" w:tplc="04100019" w:tentative="1">
      <w:start w:val="1"/>
      <w:numFmt w:val="lowerLetter"/>
      <w:lvlText w:val="%8."/>
      <w:lvlJc w:val="left"/>
      <w:pPr>
        <w:ind w:left="6817" w:hanging="360"/>
      </w:pPr>
    </w:lvl>
    <w:lvl w:ilvl="8" w:tplc="0410001B" w:tentative="1">
      <w:start w:val="1"/>
      <w:numFmt w:val="lowerRoman"/>
      <w:lvlText w:val="%9."/>
      <w:lvlJc w:val="right"/>
      <w:pPr>
        <w:ind w:left="7537" w:hanging="180"/>
      </w:pPr>
    </w:lvl>
  </w:abstractNum>
  <w:abstractNum w:abstractNumId="9">
    <w:nsid w:val="29640959"/>
    <w:multiLevelType w:val="hybridMultilevel"/>
    <w:tmpl w:val="F8AC9FD0"/>
    <w:lvl w:ilvl="0" w:tplc="6D82719A">
      <w:start w:val="1"/>
      <w:numFmt w:val="decimal"/>
      <w:lvlText w:val="%1."/>
      <w:lvlJc w:val="left"/>
      <w:pPr>
        <w:ind w:left="6597" w:hanging="360"/>
      </w:pPr>
      <w:rPr>
        <w:rFonts w:ascii="Arial" w:eastAsiaTheme="minorHAnsi" w:hAnsi="Arial" w:cs="Arial"/>
      </w:rPr>
    </w:lvl>
    <w:lvl w:ilvl="1" w:tplc="04100019" w:tentative="1">
      <w:start w:val="1"/>
      <w:numFmt w:val="lowerLetter"/>
      <w:lvlText w:val="%2."/>
      <w:lvlJc w:val="left"/>
      <w:pPr>
        <w:ind w:left="2497" w:hanging="360"/>
      </w:pPr>
    </w:lvl>
    <w:lvl w:ilvl="2" w:tplc="0410001B" w:tentative="1">
      <w:start w:val="1"/>
      <w:numFmt w:val="lowerRoman"/>
      <w:lvlText w:val="%3."/>
      <w:lvlJc w:val="right"/>
      <w:pPr>
        <w:ind w:left="3217" w:hanging="180"/>
      </w:pPr>
    </w:lvl>
    <w:lvl w:ilvl="3" w:tplc="0410000F" w:tentative="1">
      <w:start w:val="1"/>
      <w:numFmt w:val="decimal"/>
      <w:lvlText w:val="%4."/>
      <w:lvlJc w:val="left"/>
      <w:pPr>
        <w:ind w:left="3937" w:hanging="360"/>
      </w:pPr>
    </w:lvl>
    <w:lvl w:ilvl="4" w:tplc="04100019" w:tentative="1">
      <w:start w:val="1"/>
      <w:numFmt w:val="lowerLetter"/>
      <w:lvlText w:val="%5."/>
      <w:lvlJc w:val="left"/>
      <w:pPr>
        <w:ind w:left="4657" w:hanging="360"/>
      </w:pPr>
    </w:lvl>
    <w:lvl w:ilvl="5" w:tplc="0410001B" w:tentative="1">
      <w:start w:val="1"/>
      <w:numFmt w:val="lowerRoman"/>
      <w:lvlText w:val="%6."/>
      <w:lvlJc w:val="right"/>
      <w:pPr>
        <w:ind w:left="5377" w:hanging="180"/>
      </w:pPr>
    </w:lvl>
    <w:lvl w:ilvl="6" w:tplc="0410000F" w:tentative="1">
      <w:start w:val="1"/>
      <w:numFmt w:val="decimal"/>
      <w:lvlText w:val="%7."/>
      <w:lvlJc w:val="left"/>
      <w:pPr>
        <w:ind w:left="6097" w:hanging="360"/>
      </w:pPr>
    </w:lvl>
    <w:lvl w:ilvl="7" w:tplc="04100019" w:tentative="1">
      <w:start w:val="1"/>
      <w:numFmt w:val="lowerLetter"/>
      <w:lvlText w:val="%8."/>
      <w:lvlJc w:val="left"/>
      <w:pPr>
        <w:ind w:left="6817" w:hanging="360"/>
      </w:pPr>
    </w:lvl>
    <w:lvl w:ilvl="8" w:tplc="0410001B" w:tentative="1">
      <w:start w:val="1"/>
      <w:numFmt w:val="lowerRoman"/>
      <w:lvlText w:val="%9."/>
      <w:lvlJc w:val="right"/>
      <w:pPr>
        <w:ind w:left="7537" w:hanging="180"/>
      </w:pPr>
    </w:lvl>
  </w:abstractNum>
  <w:abstractNum w:abstractNumId="10">
    <w:nsid w:val="2D8C1D0E"/>
    <w:multiLevelType w:val="hybridMultilevel"/>
    <w:tmpl w:val="F31637BA"/>
    <w:lvl w:ilvl="0" w:tplc="7D1C3118">
      <w:start w:val="1"/>
      <w:numFmt w:val="decimal"/>
      <w:lvlText w:val="%1)"/>
      <w:lvlJc w:val="left"/>
      <w:pPr>
        <w:ind w:left="1777" w:hanging="360"/>
      </w:pPr>
      <w:rPr>
        <w:rFonts w:hint="default"/>
      </w:rPr>
    </w:lvl>
    <w:lvl w:ilvl="1" w:tplc="04100019" w:tentative="1">
      <w:start w:val="1"/>
      <w:numFmt w:val="lowerLetter"/>
      <w:lvlText w:val="%2."/>
      <w:lvlJc w:val="left"/>
      <w:pPr>
        <w:ind w:left="2497" w:hanging="360"/>
      </w:pPr>
    </w:lvl>
    <w:lvl w:ilvl="2" w:tplc="0410001B" w:tentative="1">
      <w:start w:val="1"/>
      <w:numFmt w:val="lowerRoman"/>
      <w:lvlText w:val="%3."/>
      <w:lvlJc w:val="right"/>
      <w:pPr>
        <w:ind w:left="3217" w:hanging="180"/>
      </w:pPr>
    </w:lvl>
    <w:lvl w:ilvl="3" w:tplc="0410000F" w:tentative="1">
      <w:start w:val="1"/>
      <w:numFmt w:val="decimal"/>
      <w:lvlText w:val="%4."/>
      <w:lvlJc w:val="left"/>
      <w:pPr>
        <w:ind w:left="3937" w:hanging="360"/>
      </w:pPr>
    </w:lvl>
    <w:lvl w:ilvl="4" w:tplc="04100019" w:tentative="1">
      <w:start w:val="1"/>
      <w:numFmt w:val="lowerLetter"/>
      <w:lvlText w:val="%5."/>
      <w:lvlJc w:val="left"/>
      <w:pPr>
        <w:ind w:left="4657" w:hanging="360"/>
      </w:pPr>
    </w:lvl>
    <w:lvl w:ilvl="5" w:tplc="0410001B" w:tentative="1">
      <w:start w:val="1"/>
      <w:numFmt w:val="lowerRoman"/>
      <w:lvlText w:val="%6."/>
      <w:lvlJc w:val="right"/>
      <w:pPr>
        <w:ind w:left="5377" w:hanging="180"/>
      </w:pPr>
    </w:lvl>
    <w:lvl w:ilvl="6" w:tplc="0410000F" w:tentative="1">
      <w:start w:val="1"/>
      <w:numFmt w:val="decimal"/>
      <w:lvlText w:val="%7."/>
      <w:lvlJc w:val="left"/>
      <w:pPr>
        <w:ind w:left="6097" w:hanging="360"/>
      </w:pPr>
    </w:lvl>
    <w:lvl w:ilvl="7" w:tplc="04100019" w:tentative="1">
      <w:start w:val="1"/>
      <w:numFmt w:val="lowerLetter"/>
      <w:lvlText w:val="%8."/>
      <w:lvlJc w:val="left"/>
      <w:pPr>
        <w:ind w:left="6817" w:hanging="360"/>
      </w:pPr>
    </w:lvl>
    <w:lvl w:ilvl="8" w:tplc="0410001B" w:tentative="1">
      <w:start w:val="1"/>
      <w:numFmt w:val="lowerRoman"/>
      <w:lvlText w:val="%9."/>
      <w:lvlJc w:val="right"/>
      <w:pPr>
        <w:ind w:left="7537" w:hanging="180"/>
      </w:pPr>
    </w:lvl>
  </w:abstractNum>
  <w:abstractNum w:abstractNumId="11">
    <w:nsid w:val="34C8236A"/>
    <w:multiLevelType w:val="hybridMultilevel"/>
    <w:tmpl w:val="BA8636C8"/>
    <w:lvl w:ilvl="0" w:tplc="04100001">
      <w:start w:val="1"/>
      <w:numFmt w:val="bullet"/>
      <w:lvlText w:val=""/>
      <w:lvlJc w:val="left"/>
      <w:pPr>
        <w:ind w:left="6240" w:hanging="360"/>
      </w:pPr>
      <w:rPr>
        <w:rFonts w:ascii="Symbol" w:hAnsi="Symbol" w:hint="default"/>
      </w:rPr>
    </w:lvl>
    <w:lvl w:ilvl="1" w:tplc="04100003" w:tentative="1">
      <w:start w:val="1"/>
      <w:numFmt w:val="bullet"/>
      <w:lvlText w:val="o"/>
      <w:lvlJc w:val="left"/>
      <w:pPr>
        <w:ind w:left="6960" w:hanging="360"/>
      </w:pPr>
      <w:rPr>
        <w:rFonts w:ascii="Courier New" w:hAnsi="Courier New" w:cs="Courier New" w:hint="default"/>
      </w:rPr>
    </w:lvl>
    <w:lvl w:ilvl="2" w:tplc="04100005" w:tentative="1">
      <w:start w:val="1"/>
      <w:numFmt w:val="bullet"/>
      <w:lvlText w:val=""/>
      <w:lvlJc w:val="left"/>
      <w:pPr>
        <w:ind w:left="7680" w:hanging="360"/>
      </w:pPr>
      <w:rPr>
        <w:rFonts w:ascii="Wingdings" w:hAnsi="Wingdings" w:hint="default"/>
      </w:rPr>
    </w:lvl>
    <w:lvl w:ilvl="3" w:tplc="04100001" w:tentative="1">
      <w:start w:val="1"/>
      <w:numFmt w:val="bullet"/>
      <w:lvlText w:val=""/>
      <w:lvlJc w:val="left"/>
      <w:pPr>
        <w:ind w:left="8400" w:hanging="360"/>
      </w:pPr>
      <w:rPr>
        <w:rFonts w:ascii="Symbol" w:hAnsi="Symbol" w:hint="default"/>
      </w:rPr>
    </w:lvl>
    <w:lvl w:ilvl="4" w:tplc="04100003" w:tentative="1">
      <w:start w:val="1"/>
      <w:numFmt w:val="bullet"/>
      <w:lvlText w:val="o"/>
      <w:lvlJc w:val="left"/>
      <w:pPr>
        <w:ind w:left="9120" w:hanging="360"/>
      </w:pPr>
      <w:rPr>
        <w:rFonts w:ascii="Courier New" w:hAnsi="Courier New" w:cs="Courier New" w:hint="default"/>
      </w:rPr>
    </w:lvl>
    <w:lvl w:ilvl="5" w:tplc="04100005" w:tentative="1">
      <w:start w:val="1"/>
      <w:numFmt w:val="bullet"/>
      <w:lvlText w:val=""/>
      <w:lvlJc w:val="left"/>
      <w:pPr>
        <w:ind w:left="9840" w:hanging="360"/>
      </w:pPr>
      <w:rPr>
        <w:rFonts w:ascii="Wingdings" w:hAnsi="Wingdings" w:hint="default"/>
      </w:rPr>
    </w:lvl>
    <w:lvl w:ilvl="6" w:tplc="04100001" w:tentative="1">
      <w:start w:val="1"/>
      <w:numFmt w:val="bullet"/>
      <w:lvlText w:val=""/>
      <w:lvlJc w:val="left"/>
      <w:pPr>
        <w:ind w:left="10560" w:hanging="360"/>
      </w:pPr>
      <w:rPr>
        <w:rFonts w:ascii="Symbol" w:hAnsi="Symbol" w:hint="default"/>
      </w:rPr>
    </w:lvl>
    <w:lvl w:ilvl="7" w:tplc="04100003" w:tentative="1">
      <w:start w:val="1"/>
      <w:numFmt w:val="bullet"/>
      <w:lvlText w:val="o"/>
      <w:lvlJc w:val="left"/>
      <w:pPr>
        <w:ind w:left="11280" w:hanging="360"/>
      </w:pPr>
      <w:rPr>
        <w:rFonts w:ascii="Courier New" w:hAnsi="Courier New" w:cs="Courier New" w:hint="default"/>
      </w:rPr>
    </w:lvl>
    <w:lvl w:ilvl="8" w:tplc="04100005" w:tentative="1">
      <w:start w:val="1"/>
      <w:numFmt w:val="bullet"/>
      <w:lvlText w:val=""/>
      <w:lvlJc w:val="left"/>
      <w:pPr>
        <w:ind w:left="12000" w:hanging="360"/>
      </w:pPr>
      <w:rPr>
        <w:rFonts w:ascii="Wingdings" w:hAnsi="Wingdings" w:hint="default"/>
      </w:rPr>
    </w:lvl>
  </w:abstractNum>
  <w:abstractNum w:abstractNumId="12">
    <w:nsid w:val="3D0B10CE"/>
    <w:multiLevelType w:val="hybridMultilevel"/>
    <w:tmpl w:val="A92A5424"/>
    <w:lvl w:ilvl="0" w:tplc="04100001">
      <w:start w:val="1"/>
      <w:numFmt w:val="bullet"/>
      <w:lvlText w:val=""/>
      <w:lvlJc w:val="left"/>
      <w:pPr>
        <w:ind w:left="2497" w:hanging="360"/>
      </w:pPr>
      <w:rPr>
        <w:rFonts w:ascii="Symbol" w:hAnsi="Symbol" w:hint="default"/>
      </w:rPr>
    </w:lvl>
    <w:lvl w:ilvl="1" w:tplc="04100003" w:tentative="1">
      <w:start w:val="1"/>
      <w:numFmt w:val="bullet"/>
      <w:lvlText w:val="o"/>
      <w:lvlJc w:val="left"/>
      <w:pPr>
        <w:ind w:left="3217" w:hanging="360"/>
      </w:pPr>
      <w:rPr>
        <w:rFonts w:ascii="Courier New" w:hAnsi="Courier New" w:cs="Courier New" w:hint="default"/>
      </w:rPr>
    </w:lvl>
    <w:lvl w:ilvl="2" w:tplc="04100005" w:tentative="1">
      <w:start w:val="1"/>
      <w:numFmt w:val="bullet"/>
      <w:lvlText w:val=""/>
      <w:lvlJc w:val="left"/>
      <w:pPr>
        <w:ind w:left="3937" w:hanging="360"/>
      </w:pPr>
      <w:rPr>
        <w:rFonts w:ascii="Wingdings" w:hAnsi="Wingdings" w:hint="default"/>
      </w:rPr>
    </w:lvl>
    <w:lvl w:ilvl="3" w:tplc="04100001" w:tentative="1">
      <w:start w:val="1"/>
      <w:numFmt w:val="bullet"/>
      <w:lvlText w:val=""/>
      <w:lvlJc w:val="left"/>
      <w:pPr>
        <w:ind w:left="4657" w:hanging="360"/>
      </w:pPr>
      <w:rPr>
        <w:rFonts w:ascii="Symbol" w:hAnsi="Symbol" w:hint="default"/>
      </w:rPr>
    </w:lvl>
    <w:lvl w:ilvl="4" w:tplc="04100003" w:tentative="1">
      <w:start w:val="1"/>
      <w:numFmt w:val="bullet"/>
      <w:lvlText w:val="o"/>
      <w:lvlJc w:val="left"/>
      <w:pPr>
        <w:ind w:left="5377" w:hanging="360"/>
      </w:pPr>
      <w:rPr>
        <w:rFonts w:ascii="Courier New" w:hAnsi="Courier New" w:cs="Courier New" w:hint="default"/>
      </w:rPr>
    </w:lvl>
    <w:lvl w:ilvl="5" w:tplc="04100005" w:tentative="1">
      <w:start w:val="1"/>
      <w:numFmt w:val="bullet"/>
      <w:lvlText w:val=""/>
      <w:lvlJc w:val="left"/>
      <w:pPr>
        <w:ind w:left="6097" w:hanging="360"/>
      </w:pPr>
      <w:rPr>
        <w:rFonts w:ascii="Wingdings" w:hAnsi="Wingdings" w:hint="default"/>
      </w:rPr>
    </w:lvl>
    <w:lvl w:ilvl="6" w:tplc="04100001" w:tentative="1">
      <w:start w:val="1"/>
      <w:numFmt w:val="bullet"/>
      <w:lvlText w:val=""/>
      <w:lvlJc w:val="left"/>
      <w:pPr>
        <w:ind w:left="6817" w:hanging="360"/>
      </w:pPr>
      <w:rPr>
        <w:rFonts w:ascii="Symbol" w:hAnsi="Symbol" w:hint="default"/>
      </w:rPr>
    </w:lvl>
    <w:lvl w:ilvl="7" w:tplc="04100003" w:tentative="1">
      <w:start w:val="1"/>
      <w:numFmt w:val="bullet"/>
      <w:lvlText w:val="o"/>
      <w:lvlJc w:val="left"/>
      <w:pPr>
        <w:ind w:left="7537" w:hanging="360"/>
      </w:pPr>
      <w:rPr>
        <w:rFonts w:ascii="Courier New" w:hAnsi="Courier New" w:cs="Courier New" w:hint="default"/>
      </w:rPr>
    </w:lvl>
    <w:lvl w:ilvl="8" w:tplc="04100005" w:tentative="1">
      <w:start w:val="1"/>
      <w:numFmt w:val="bullet"/>
      <w:lvlText w:val=""/>
      <w:lvlJc w:val="left"/>
      <w:pPr>
        <w:ind w:left="8257" w:hanging="360"/>
      </w:pPr>
      <w:rPr>
        <w:rFonts w:ascii="Wingdings" w:hAnsi="Wingdings" w:hint="default"/>
      </w:rPr>
    </w:lvl>
  </w:abstractNum>
  <w:abstractNum w:abstractNumId="13">
    <w:nsid w:val="3F264A2D"/>
    <w:multiLevelType w:val="hybridMultilevel"/>
    <w:tmpl w:val="B6488A8E"/>
    <w:lvl w:ilvl="0" w:tplc="F63033BA">
      <w:start w:val="1"/>
      <w:numFmt w:val="decimal"/>
      <w:lvlText w:val="%1."/>
      <w:lvlJc w:val="left"/>
      <w:pPr>
        <w:ind w:left="1777" w:hanging="360"/>
      </w:pPr>
      <w:rPr>
        <w:rFonts w:hint="default"/>
      </w:rPr>
    </w:lvl>
    <w:lvl w:ilvl="1" w:tplc="04100019" w:tentative="1">
      <w:start w:val="1"/>
      <w:numFmt w:val="lowerLetter"/>
      <w:lvlText w:val="%2."/>
      <w:lvlJc w:val="left"/>
      <w:pPr>
        <w:ind w:left="2497" w:hanging="360"/>
      </w:pPr>
    </w:lvl>
    <w:lvl w:ilvl="2" w:tplc="0410001B" w:tentative="1">
      <w:start w:val="1"/>
      <w:numFmt w:val="lowerRoman"/>
      <w:lvlText w:val="%3."/>
      <w:lvlJc w:val="right"/>
      <w:pPr>
        <w:ind w:left="3217" w:hanging="180"/>
      </w:pPr>
    </w:lvl>
    <w:lvl w:ilvl="3" w:tplc="0410000F" w:tentative="1">
      <w:start w:val="1"/>
      <w:numFmt w:val="decimal"/>
      <w:lvlText w:val="%4."/>
      <w:lvlJc w:val="left"/>
      <w:pPr>
        <w:ind w:left="3937" w:hanging="360"/>
      </w:pPr>
    </w:lvl>
    <w:lvl w:ilvl="4" w:tplc="04100019" w:tentative="1">
      <w:start w:val="1"/>
      <w:numFmt w:val="lowerLetter"/>
      <w:lvlText w:val="%5."/>
      <w:lvlJc w:val="left"/>
      <w:pPr>
        <w:ind w:left="4657" w:hanging="360"/>
      </w:pPr>
    </w:lvl>
    <w:lvl w:ilvl="5" w:tplc="0410001B" w:tentative="1">
      <w:start w:val="1"/>
      <w:numFmt w:val="lowerRoman"/>
      <w:lvlText w:val="%6."/>
      <w:lvlJc w:val="right"/>
      <w:pPr>
        <w:ind w:left="5377" w:hanging="180"/>
      </w:pPr>
    </w:lvl>
    <w:lvl w:ilvl="6" w:tplc="0410000F" w:tentative="1">
      <w:start w:val="1"/>
      <w:numFmt w:val="decimal"/>
      <w:lvlText w:val="%7."/>
      <w:lvlJc w:val="left"/>
      <w:pPr>
        <w:ind w:left="6097" w:hanging="360"/>
      </w:pPr>
    </w:lvl>
    <w:lvl w:ilvl="7" w:tplc="04100019" w:tentative="1">
      <w:start w:val="1"/>
      <w:numFmt w:val="lowerLetter"/>
      <w:lvlText w:val="%8."/>
      <w:lvlJc w:val="left"/>
      <w:pPr>
        <w:ind w:left="6817" w:hanging="360"/>
      </w:pPr>
    </w:lvl>
    <w:lvl w:ilvl="8" w:tplc="0410001B" w:tentative="1">
      <w:start w:val="1"/>
      <w:numFmt w:val="lowerRoman"/>
      <w:lvlText w:val="%9."/>
      <w:lvlJc w:val="right"/>
      <w:pPr>
        <w:ind w:left="7537" w:hanging="180"/>
      </w:pPr>
    </w:lvl>
  </w:abstractNum>
  <w:abstractNum w:abstractNumId="14">
    <w:nsid w:val="40CD3470"/>
    <w:multiLevelType w:val="hybridMultilevel"/>
    <w:tmpl w:val="DC0E8CDC"/>
    <w:lvl w:ilvl="0" w:tplc="2FB244B8">
      <w:start w:val="1"/>
      <w:numFmt w:val="decimal"/>
      <w:lvlText w:val="%1."/>
      <w:lvlJc w:val="left"/>
      <w:pPr>
        <w:ind w:left="1777" w:hanging="360"/>
      </w:pPr>
      <w:rPr>
        <w:rFonts w:hint="default"/>
      </w:rPr>
    </w:lvl>
    <w:lvl w:ilvl="1" w:tplc="04100019" w:tentative="1">
      <w:start w:val="1"/>
      <w:numFmt w:val="lowerLetter"/>
      <w:lvlText w:val="%2."/>
      <w:lvlJc w:val="left"/>
      <w:pPr>
        <w:ind w:left="2497" w:hanging="360"/>
      </w:pPr>
    </w:lvl>
    <w:lvl w:ilvl="2" w:tplc="0410001B" w:tentative="1">
      <w:start w:val="1"/>
      <w:numFmt w:val="lowerRoman"/>
      <w:lvlText w:val="%3."/>
      <w:lvlJc w:val="right"/>
      <w:pPr>
        <w:ind w:left="3217" w:hanging="180"/>
      </w:pPr>
    </w:lvl>
    <w:lvl w:ilvl="3" w:tplc="0410000F" w:tentative="1">
      <w:start w:val="1"/>
      <w:numFmt w:val="decimal"/>
      <w:lvlText w:val="%4."/>
      <w:lvlJc w:val="left"/>
      <w:pPr>
        <w:ind w:left="3937" w:hanging="360"/>
      </w:pPr>
    </w:lvl>
    <w:lvl w:ilvl="4" w:tplc="04100019" w:tentative="1">
      <w:start w:val="1"/>
      <w:numFmt w:val="lowerLetter"/>
      <w:lvlText w:val="%5."/>
      <w:lvlJc w:val="left"/>
      <w:pPr>
        <w:ind w:left="4657" w:hanging="360"/>
      </w:pPr>
    </w:lvl>
    <w:lvl w:ilvl="5" w:tplc="0410001B" w:tentative="1">
      <w:start w:val="1"/>
      <w:numFmt w:val="lowerRoman"/>
      <w:lvlText w:val="%6."/>
      <w:lvlJc w:val="right"/>
      <w:pPr>
        <w:ind w:left="5377" w:hanging="180"/>
      </w:pPr>
    </w:lvl>
    <w:lvl w:ilvl="6" w:tplc="0410000F" w:tentative="1">
      <w:start w:val="1"/>
      <w:numFmt w:val="decimal"/>
      <w:lvlText w:val="%7."/>
      <w:lvlJc w:val="left"/>
      <w:pPr>
        <w:ind w:left="6097" w:hanging="360"/>
      </w:pPr>
    </w:lvl>
    <w:lvl w:ilvl="7" w:tplc="04100019" w:tentative="1">
      <w:start w:val="1"/>
      <w:numFmt w:val="lowerLetter"/>
      <w:lvlText w:val="%8."/>
      <w:lvlJc w:val="left"/>
      <w:pPr>
        <w:ind w:left="6817" w:hanging="360"/>
      </w:pPr>
    </w:lvl>
    <w:lvl w:ilvl="8" w:tplc="0410001B" w:tentative="1">
      <w:start w:val="1"/>
      <w:numFmt w:val="lowerRoman"/>
      <w:lvlText w:val="%9."/>
      <w:lvlJc w:val="right"/>
      <w:pPr>
        <w:ind w:left="7537" w:hanging="180"/>
      </w:pPr>
    </w:lvl>
  </w:abstractNum>
  <w:abstractNum w:abstractNumId="15">
    <w:nsid w:val="4C7F7019"/>
    <w:multiLevelType w:val="hybridMultilevel"/>
    <w:tmpl w:val="B6488A8E"/>
    <w:lvl w:ilvl="0" w:tplc="F63033BA">
      <w:start w:val="1"/>
      <w:numFmt w:val="decimal"/>
      <w:lvlText w:val="%1."/>
      <w:lvlJc w:val="left"/>
      <w:pPr>
        <w:ind w:left="1777" w:hanging="360"/>
      </w:pPr>
      <w:rPr>
        <w:rFonts w:hint="default"/>
      </w:rPr>
    </w:lvl>
    <w:lvl w:ilvl="1" w:tplc="04100019" w:tentative="1">
      <w:start w:val="1"/>
      <w:numFmt w:val="lowerLetter"/>
      <w:lvlText w:val="%2."/>
      <w:lvlJc w:val="left"/>
      <w:pPr>
        <w:ind w:left="2497" w:hanging="360"/>
      </w:pPr>
    </w:lvl>
    <w:lvl w:ilvl="2" w:tplc="0410001B" w:tentative="1">
      <w:start w:val="1"/>
      <w:numFmt w:val="lowerRoman"/>
      <w:lvlText w:val="%3."/>
      <w:lvlJc w:val="right"/>
      <w:pPr>
        <w:ind w:left="3217" w:hanging="180"/>
      </w:pPr>
    </w:lvl>
    <w:lvl w:ilvl="3" w:tplc="0410000F" w:tentative="1">
      <w:start w:val="1"/>
      <w:numFmt w:val="decimal"/>
      <w:lvlText w:val="%4."/>
      <w:lvlJc w:val="left"/>
      <w:pPr>
        <w:ind w:left="3937" w:hanging="360"/>
      </w:pPr>
    </w:lvl>
    <w:lvl w:ilvl="4" w:tplc="04100019" w:tentative="1">
      <w:start w:val="1"/>
      <w:numFmt w:val="lowerLetter"/>
      <w:lvlText w:val="%5."/>
      <w:lvlJc w:val="left"/>
      <w:pPr>
        <w:ind w:left="4657" w:hanging="360"/>
      </w:pPr>
    </w:lvl>
    <w:lvl w:ilvl="5" w:tplc="0410001B" w:tentative="1">
      <w:start w:val="1"/>
      <w:numFmt w:val="lowerRoman"/>
      <w:lvlText w:val="%6."/>
      <w:lvlJc w:val="right"/>
      <w:pPr>
        <w:ind w:left="5377" w:hanging="180"/>
      </w:pPr>
    </w:lvl>
    <w:lvl w:ilvl="6" w:tplc="0410000F" w:tentative="1">
      <w:start w:val="1"/>
      <w:numFmt w:val="decimal"/>
      <w:lvlText w:val="%7."/>
      <w:lvlJc w:val="left"/>
      <w:pPr>
        <w:ind w:left="6097" w:hanging="360"/>
      </w:pPr>
    </w:lvl>
    <w:lvl w:ilvl="7" w:tplc="04100019" w:tentative="1">
      <w:start w:val="1"/>
      <w:numFmt w:val="lowerLetter"/>
      <w:lvlText w:val="%8."/>
      <w:lvlJc w:val="left"/>
      <w:pPr>
        <w:ind w:left="6817" w:hanging="360"/>
      </w:pPr>
    </w:lvl>
    <w:lvl w:ilvl="8" w:tplc="0410001B" w:tentative="1">
      <w:start w:val="1"/>
      <w:numFmt w:val="lowerRoman"/>
      <w:lvlText w:val="%9."/>
      <w:lvlJc w:val="right"/>
      <w:pPr>
        <w:ind w:left="7537" w:hanging="180"/>
      </w:pPr>
    </w:lvl>
  </w:abstractNum>
  <w:abstractNum w:abstractNumId="16">
    <w:nsid w:val="4E320D36"/>
    <w:multiLevelType w:val="hybridMultilevel"/>
    <w:tmpl w:val="F58699B2"/>
    <w:lvl w:ilvl="0" w:tplc="04100001">
      <w:start w:val="1"/>
      <w:numFmt w:val="bullet"/>
      <w:lvlText w:val=""/>
      <w:lvlJc w:val="left"/>
      <w:pPr>
        <w:ind w:left="2137" w:hanging="360"/>
      </w:pPr>
      <w:rPr>
        <w:rFonts w:ascii="Symbol" w:hAnsi="Symbol" w:hint="default"/>
      </w:rPr>
    </w:lvl>
    <w:lvl w:ilvl="1" w:tplc="04100003" w:tentative="1">
      <w:start w:val="1"/>
      <w:numFmt w:val="bullet"/>
      <w:lvlText w:val="o"/>
      <w:lvlJc w:val="left"/>
      <w:pPr>
        <w:ind w:left="2857" w:hanging="360"/>
      </w:pPr>
      <w:rPr>
        <w:rFonts w:ascii="Courier New" w:hAnsi="Courier New" w:cs="Courier New" w:hint="default"/>
      </w:rPr>
    </w:lvl>
    <w:lvl w:ilvl="2" w:tplc="04100005" w:tentative="1">
      <w:start w:val="1"/>
      <w:numFmt w:val="bullet"/>
      <w:lvlText w:val=""/>
      <w:lvlJc w:val="left"/>
      <w:pPr>
        <w:ind w:left="3577" w:hanging="360"/>
      </w:pPr>
      <w:rPr>
        <w:rFonts w:ascii="Wingdings" w:hAnsi="Wingdings" w:hint="default"/>
      </w:rPr>
    </w:lvl>
    <w:lvl w:ilvl="3" w:tplc="04100001" w:tentative="1">
      <w:start w:val="1"/>
      <w:numFmt w:val="bullet"/>
      <w:lvlText w:val=""/>
      <w:lvlJc w:val="left"/>
      <w:pPr>
        <w:ind w:left="4297" w:hanging="360"/>
      </w:pPr>
      <w:rPr>
        <w:rFonts w:ascii="Symbol" w:hAnsi="Symbol" w:hint="default"/>
      </w:rPr>
    </w:lvl>
    <w:lvl w:ilvl="4" w:tplc="04100003" w:tentative="1">
      <w:start w:val="1"/>
      <w:numFmt w:val="bullet"/>
      <w:lvlText w:val="o"/>
      <w:lvlJc w:val="left"/>
      <w:pPr>
        <w:ind w:left="5017" w:hanging="360"/>
      </w:pPr>
      <w:rPr>
        <w:rFonts w:ascii="Courier New" w:hAnsi="Courier New" w:cs="Courier New" w:hint="default"/>
      </w:rPr>
    </w:lvl>
    <w:lvl w:ilvl="5" w:tplc="04100005" w:tentative="1">
      <w:start w:val="1"/>
      <w:numFmt w:val="bullet"/>
      <w:lvlText w:val=""/>
      <w:lvlJc w:val="left"/>
      <w:pPr>
        <w:ind w:left="5737" w:hanging="360"/>
      </w:pPr>
      <w:rPr>
        <w:rFonts w:ascii="Wingdings" w:hAnsi="Wingdings" w:hint="default"/>
      </w:rPr>
    </w:lvl>
    <w:lvl w:ilvl="6" w:tplc="04100001" w:tentative="1">
      <w:start w:val="1"/>
      <w:numFmt w:val="bullet"/>
      <w:lvlText w:val=""/>
      <w:lvlJc w:val="left"/>
      <w:pPr>
        <w:ind w:left="6457" w:hanging="360"/>
      </w:pPr>
      <w:rPr>
        <w:rFonts w:ascii="Symbol" w:hAnsi="Symbol" w:hint="default"/>
      </w:rPr>
    </w:lvl>
    <w:lvl w:ilvl="7" w:tplc="04100003" w:tentative="1">
      <w:start w:val="1"/>
      <w:numFmt w:val="bullet"/>
      <w:lvlText w:val="o"/>
      <w:lvlJc w:val="left"/>
      <w:pPr>
        <w:ind w:left="7177" w:hanging="360"/>
      </w:pPr>
      <w:rPr>
        <w:rFonts w:ascii="Courier New" w:hAnsi="Courier New" w:cs="Courier New" w:hint="default"/>
      </w:rPr>
    </w:lvl>
    <w:lvl w:ilvl="8" w:tplc="04100005" w:tentative="1">
      <w:start w:val="1"/>
      <w:numFmt w:val="bullet"/>
      <w:lvlText w:val=""/>
      <w:lvlJc w:val="left"/>
      <w:pPr>
        <w:ind w:left="7897" w:hanging="360"/>
      </w:pPr>
      <w:rPr>
        <w:rFonts w:ascii="Wingdings" w:hAnsi="Wingdings" w:hint="default"/>
      </w:rPr>
    </w:lvl>
  </w:abstractNum>
  <w:abstractNum w:abstractNumId="17">
    <w:nsid w:val="50476A33"/>
    <w:multiLevelType w:val="hybridMultilevel"/>
    <w:tmpl w:val="CC241CE4"/>
    <w:lvl w:ilvl="0" w:tplc="04100001">
      <w:start w:val="1"/>
      <w:numFmt w:val="bullet"/>
      <w:lvlText w:val=""/>
      <w:lvlJc w:val="left"/>
      <w:pPr>
        <w:ind w:left="2497" w:hanging="360"/>
      </w:pPr>
      <w:rPr>
        <w:rFonts w:ascii="Symbol" w:hAnsi="Symbol" w:hint="default"/>
      </w:rPr>
    </w:lvl>
    <w:lvl w:ilvl="1" w:tplc="04100003" w:tentative="1">
      <w:start w:val="1"/>
      <w:numFmt w:val="bullet"/>
      <w:lvlText w:val="o"/>
      <w:lvlJc w:val="left"/>
      <w:pPr>
        <w:ind w:left="3217" w:hanging="360"/>
      </w:pPr>
      <w:rPr>
        <w:rFonts w:ascii="Courier New" w:hAnsi="Courier New" w:cs="Courier New" w:hint="default"/>
      </w:rPr>
    </w:lvl>
    <w:lvl w:ilvl="2" w:tplc="04100005" w:tentative="1">
      <w:start w:val="1"/>
      <w:numFmt w:val="bullet"/>
      <w:lvlText w:val=""/>
      <w:lvlJc w:val="left"/>
      <w:pPr>
        <w:ind w:left="3937" w:hanging="360"/>
      </w:pPr>
      <w:rPr>
        <w:rFonts w:ascii="Wingdings" w:hAnsi="Wingdings" w:hint="default"/>
      </w:rPr>
    </w:lvl>
    <w:lvl w:ilvl="3" w:tplc="04100001" w:tentative="1">
      <w:start w:val="1"/>
      <w:numFmt w:val="bullet"/>
      <w:lvlText w:val=""/>
      <w:lvlJc w:val="left"/>
      <w:pPr>
        <w:ind w:left="4657" w:hanging="360"/>
      </w:pPr>
      <w:rPr>
        <w:rFonts w:ascii="Symbol" w:hAnsi="Symbol" w:hint="default"/>
      </w:rPr>
    </w:lvl>
    <w:lvl w:ilvl="4" w:tplc="04100003" w:tentative="1">
      <w:start w:val="1"/>
      <w:numFmt w:val="bullet"/>
      <w:lvlText w:val="o"/>
      <w:lvlJc w:val="left"/>
      <w:pPr>
        <w:ind w:left="5377" w:hanging="360"/>
      </w:pPr>
      <w:rPr>
        <w:rFonts w:ascii="Courier New" w:hAnsi="Courier New" w:cs="Courier New" w:hint="default"/>
      </w:rPr>
    </w:lvl>
    <w:lvl w:ilvl="5" w:tplc="04100005" w:tentative="1">
      <w:start w:val="1"/>
      <w:numFmt w:val="bullet"/>
      <w:lvlText w:val=""/>
      <w:lvlJc w:val="left"/>
      <w:pPr>
        <w:ind w:left="6097" w:hanging="360"/>
      </w:pPr>
      <w:rPr>
        <w:rFonts w:ascii="Wingdings" w:hAnsi="Wingdings" w:hint="default"/>
      </w:rPr>
    </w:lvl>
    <w:lvl w:ilvl="6" w:tplc="04100001" w:tentative="1">
      <w:start w:val="1"/>
      <w:numFmt w:val="bullet"/>
      <w:lvlText w:val=""/>
      <w:lvlJc w:val="left"/>
      <w:pPr>
        <w:ind w:left="6817" w:hanging="360"/>
      </w:pPr>
      <w:rPr>
        <w:rFonts w:ascii="Symbol" w:hAnsi="Symbol" w:hint="default"/>
      </w:rPr>
    </w:lvl>
    <w:lvl w:ilvl="7" w:tplc="04100003" w:tentative="1">
      <w:start w:val="1"/>
      <w:numFmt w:val="bullet"/>
      <w:lvlText w:val="o"/>
      <w:lvlJc w:val="left"/>
      <w:pPr>
        <w:ind w:left="7537" w:hanging="360"/>
      </w:pPr>
      <w:rPr>
        <w:rFonts w:ascii="Courier New" w:hAnsi="Courier New" w:cs="Courier New" w:hint="default"/>
      </w:rPr>
    </w:lvl>
    <w:lvl w:ilvl="8" w:tplc="04100005" w:tentative="1">
      <w:start w:val="1"/>
      <w:numFmt w:val="bullet"/>
      <w:lvlText w:val=""/>
      <w:lvlJc w:val="left"/>
      <w:pPr>
        <w:ind w:left="8257" w:hanging="360"/>
      </w:pPr>
      <w:rPr>
        <w:rFonts w:ascii="Wingdings" w:hAnsi="Wingdings" w:hint="default"/>
      </w:rPr>
    </w:lvl>
  </w:abstractNum>
  <w:abstractNum w:abstractNumId="18">
    <w:nsid w:val="51794A47"/>
    <w:multiLevelType w:val="hybridMultilevel"/>
    <w:tmpl w:val="B96C01AC"/>
    <w:lvl w:ilvl="0" w:tplc="04100001">
      <w:start w:val="1"/>
      <w:numFmt w:val="bullet"/>
      <w:lvlText w:val=""/>
      <w:lvlJc w:val="left"/>
      <w:pPr>
        <w:ind w:left="3217" w:hanging="360"/>
      </w:pPr>
      <w:rPr>
        <w:rFonts w:ascii="Symbol" w:hAnsi="Symbol" w:hint="default"/>
      </w:rPr>
    </w:lvl>
    <w:lvl w:ilvl="1" w:tplc="04100003" w:tentative="1">
      <w:start w:val="1"/>
      <w:numFmt w:val="bullet"/>
      <w:lvlText w:val="o"/>
      <w:lvlJc w:val="left"/>
      <w:pPr>
        <w:ind w:left="3937" w:hanging="360"/>
      </w:pPr>
      <w:rPr>
        <w:rFonts w:ascii="Courier New" w:hAnsi="Courier New" w:cs="Courier New" w:hint="default"/>
      </w:rPr>
    </w:lvl>
    <w:lvl w:ilvl="2" w:tplc="04100005" w:tentative="1">
      <w:start w:val="1"/>
      <w:numFmt w:val="bullet"/>
      <w:lvlText w:val=""/>
      <w:lvlJc w:val="left"/>
      <w:pPr>
        <w:ind w:left="4657" w:hanging="360"/>
      </w:pPr>
      <w:rPr>
        <w:rFonts w:ascii="Wingdings" w:hAnsi="Wingdings" w:hint="default"/>
      </w:rPr>
    </w:lvl>
    <w:lvl w:ilvl="3" w:tplc="04100001" w:tentative="1">
      <w:start w:val="1"/>
      <w:numFmt w:val="bullet"/>
      <w:lvlText w:val=""/>
      <w:lvlJc w:val="left"/>
      <w:pPr>
        <w:ind w:left="5377" w:hanging="360"/>
      </w:pPr>
      <w:rPr>
        <w:rFonts w:ascii="Symbol" w:hAnsi="Symbol" w:hint="default"/>
      </w:rPr>
    </w:lvl>
    <w:lvl w:ilvl="4" w:tplc="04100003" w:tentative="1">
      <w:start w:val="1"/>
      <w:numFmt w:val="bullet"/>
      <w:lvlText w:val="o"/>
      <w:lvlJc w:val="left"/>
      <w:pPr>
        <w:ind w:left="6097" w:hanging="360"/>
      </w:pPr>
      <w:rPr>
        <w:rFonts w:ascii="Courier New" w:hAnsi="Courier New" w:cs="Courier New" w:hint="default"/>
      </w:rPr>
    </w:lvl>
    <w:lvl w:ilvl="5" w:tplc="04100005" w:tentative="1">
      <w:start w:val="1"/>
      <w:numFmt w:val="bullet"/>
      <w:lvlText w:val=""/>
      <w:lvlJc w:val="left"/>
      <w:pPr>
        <w:ind w:left="6817" w:hanging="360"/>
      </w:pPr>
      <w:rPr>
        <w:rFonts w:ascii="Wingdings" w:hAnsi="Wingdings" w:hint="default"/>
      </w:rPr>
    </w:lvl>
    <w:lvl w:ilvl="6" w:tplc="04100001" w:tentative="1">
      <w:start w:val="1"/>
      <w:numFmt w:val="bullet"/>
      <w:lvlText w:val=""/>
      <w:lvlJc w:val="left"/>
      <w:pPr>
        <w:ind w:left="7537" w:hanging="360"/>
      </w:pPr>
      <w:rPr>
        <w:rFonts w:ascii="Symbol" w:hAnsi="Symbol" w:hint="default"/>
      </w:rPr>
    </w:lvl>
    <w:lvl w:ilvl="7" w:tplc="04100003" w:tentative="1">
      <w:start w:val="1"/>
      <w:numFmt w:val="bullet"/>
      <w:lvlText w:val="o"/>
      <w:lvlJc w:val="left"/>
      <w:pPr>
        <w:ind w:left="8257" w:hanging="360"/>
      </w:pPr>
      <w:rPr>
        <w:rFonts w:ascii="Courier New" w:hAnsi="Courier New" w:cs="Courier New" w:hint="default"/>
      </w:rPr>
    </w:lvl>
    <w:lvl w:ilvl="8" w:tplc="04100005" w:tentative="1">
      <w:start w:val="1"/>
      <w:numFmt w:val="bullet"/>
      <w:lvlText w:val=""/>
      <w:lvlJc w:val="left"/>
      <w:pPr>
        <w:ind w:left="8977" w:hanging="360"/>
      </w:pPr>
      <w:rPr>
        <w:rFonts w:ascii="Wingdings" w:hAnsi="Wingdings" w:hint="default"/>
      </w:rPr>
    </w:lvl>
  </w:abstractNum>
  <w:abstractNum w:abstractNumId="19">
    <w:nsid w:val="52CD4646"/>
    <w:multiLevelType w:val="hybridMultilevel"/>
    <w:tmpl w:val="9E746C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8E22E58"/>
    <w:multiLevelType w:val="hybridMultilevel"/>
    <w:tmpl w:val="1C4C18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1264971"/>
    <w:multiLevelType w:val="hybridMultilevel"/>
    <w:tmpl w:val="F7AE79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54F481D"/>
    <w:multiLevelType w:val="hybridMultilevel"/>
    <w:tmpl w:val="5318293A"/>
    <w:lvl w:ilvl="0" w:tplc="051A37F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nsid w:val="6D1812D4"/>
    <w:multiLevelType w:val="hybridMultilevel"/>
    <w:tmpl w:val="0A9EC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F0A2FD9"/>
    <w:multiLevelType w:val="hybridMultilevel"/>
    <w:tmpl w:val="A7A6F8D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6FB966FD"/>
    <w:multiLevelType w:val="hybridMultilevel"/>
    <w:tmpl w:val="C15429D2"/>
    <w:lvl w:ilvl="0" w:tplc="652EF604">
      <w:start w:val="1"/>
      <w:numFmt w:val="decimal"/>
      <w:lvlText w:val="%1."/>
      <w:lvlJc w:val="left"/>
      <w:pPr>
        <w:ind w:left="2857" w:hanging="360"/>
      </w:pPr>
      <w:rPr>
        <w:rFonts w:hint="default"/>
      </w:rPr>
    </w:lvl>
    <w:lvl w:ilvl="1" w:tplc="04100019" w:tentative="1">
      <w:start w:val="1"/>
      <w:numFmt w:val="lowerLetter"/>
      <w:lvlText w:val="%2."/>
      <w:lvlJc w:val="left"/>
      <w:pPr>
        <w:ind w:left="3577" w:hanging="360"/>
      </w:pPr>
    </w:lvl>
    <w:lvl w:ilvl="2" w:tplc="0410001B" w:tentative="1">
      <w:start w:val="1"/>
      <w:numFmt w:val="lowerRoman"/>
      <w:lvlText w:val="%3."/>
      <w:lvlJc w:val="right"/>
      <w:pPr>
        <w:ind w:left="4297" w:hanging="180"/>
      </w:pPr>
    </w:lvl>
    <w:lvl w:ilvl="3" w:tplc="0410000F" w:tentative="1">
      <w:start w:val="1"/>
      <w:numFmt w:val="decimal"/>
      <w:lvlText w:val="%4."/>
      <w:lvlJc w:val="left"/>
      <w:pPr>
        <w:ind w:left="5017" w:hanging="360"/>
      </w:pPr>
    </w:lvl>
    <w:lvl w:ilvl="4" w:tplc="04100019" w:tentative="1">
      <w:start w:val="1"/>
      <w:numFmt w:val="lowerLetter"/>
      <w:lvlText w:val="%5."/>
      <w:lvlJc w:val="left"/>
      <w:pPr>
        <w:ind w:left="5737" w:hanging="360"/>
      </w:pPr>
    </w:lvl>
    <w:lvl w:ilvl="5" w:tplc="0410001B" w:tentative="1">
      <w:start w:val="1"/>
      <w:numFmt w:val="lowerRoman"/>
      <w:lvlText w:val="%6."/>
      <w:lvlJc w:val="right"/>
      <w:pPr>
        <w:ind w:left="6457" w:hanging="180"/>
      </w:pPr>
    </w:lvl>
    <w:lvl w:ilvl="6" w:tplc="0410000F" w:tentative="1">
      <w:start w:val="1"/>
      <w:numFmt w:val="decimal"/>
      <w:lvlText w:val="%7."/>
      <w:lvlJc w:val="left"/>
      <w:pPr>
        <w:ind w:left="7177" w:hanging="360"/>
      </w:pPr>
    </w:lvl>
    <w:lvl w:ilvl="7" w:tplc="04100019" w:tentative="1">
      <w:start w:val="1"/>
      <w:numFmt w:val="lowerLetter"/>
      <w:lvlText w:val="%8."/>
      <w:lvlJc w:val="left"/>
      <w:pPr>
        <w:ind w:left="7897" w:hanging="360"/>
      </w:pPr>
    </w:lvl>
    <w:lvl w:ilvl="8" w:tplc="0410001B" w:tentative="1">
      <w:start w:val="1"/>
      <w:numFmt w:val="lowerRoman"/>
      <w:lvlText w:val="%9."/>
      <w:lvlJc w:val="right"/>
      <w:pPr>
        <w:ind w:left="8617" w:hanging="180"/>
      </w:pPr>
    </w:lvl>
  </w:abstractNum>
  <w:abstractNum w:abstractNumId="26">
    <w:nsid w:val="71180338"/>
    <w:multiLevelType w:val="hybridMultilevel"/>
    <w:tmpl w:val="EBF0DA62"/>
    <w:lvl w:ilvl="0" w:tplc="10E22334">
      <w:start w:val="1"/>
      <w:numFmt w:val="decimal"/>
      <w:lvlText w:val="%1."/>
      <w:lvlJc w:val="left"/>
      <w:pPr>
        <w:ind w:left="1777" w:hanging="360"/>
      </w:pPr>
      <w:rPr>
        <w:rFonts w:hint="default"/>
      </w:rPr>
    </w:lvl>
    <w:lvl w:ilvl="1" w:tplc="04100019" w:tentative="1">
      <w:start w:val="1"/>
      <w:numFmt w:val="lowerLetter"/>
      <w:lvlText w:val="%2."/>
      <w:lvlJc w:val="left"/>
      <w:pPr>
        <w:ind w:left="2497" w:hanging="360"/>
      </w:pPr>
    </w:lvl>
    <w:lvl w:ilvl="2" w:tplc="0410001B" w:tentative="1">
      <w:start w:val="1"/>
      <w:numFmt w:val="lowerRoman"/>
      <w:lvlText w:val="%3."/>
      <w:lvlJc w:val="right"/>
      <w:pPr>
        <w:ind w:left="3217" w:hanging="180"/>
      </w:pPr>
    </w:lvl>
    <w:lvl w:ilvl="3" w:tplc="0410000F" w:tentative="1">
      <w:start w:val="1"/>
      <w:numFmt w:val="decimal"/>
      <w:lvlText w:val="%4."/>
      <w:lvlJc w:val="left"/>
      <w:pPr>
        <w:ind w:left="3937" w:hanging="360"/>
      </w:pPr>
    </w:lvl>
    <w:lvl w:ilvl="4" w:tplc="04100019" w:tentative="1">
      <w:start w:val="1"/>
      <w:numFmt w:val="lowerLetter"/>
      <w:lvlText w:val="%5."/>
      <w:lvlJc w:val="left"/>
      <w:pPr>
        <w:ind w:left="4657" w:hanging="360"/>
      </w:pPr>
    </w:lvl>
    <w:lvl w:ilvl="5" w:tplc="0410001B" w:tentative="1">
      <w:start w:val="1"/>
      <w:numFmt w:val="lowerRoman"/>
      <w:lvlText w:val="%6."/>
      <w:lvlJc w:val="right"/>
      <w:pPr>
        <w:ind w:left="5377" w:hanging="180"/>
      </w:pPr>
    </w:lvl>
    <w:lvl w:ilvl="6" w:tplc="0410000F" w:tentative="1">
      <w:start w:val="1"/>
      <w:numFmt w:val="decimal"/>
      <w:lvlText w:val="%7."/>
      <w:lvlJc w:val="left"/>
      <w:pPr>
        <w:ind w:left="6097" w:hanging="360"/>
      </w:pPr>
    </w:lvl>
    <w:lvl w:ilvl="7" w:tplc="04100019" w:tentative="1">
      <w:start w:val="1"/>
      <w:numFmt w:val="lowerLetter"/>
      <w:lvlText w:val="%8."/>
      <w:lvlJc w:val="left"/>
      <w:pPr>
        <w:ind w:left="6817" w:hanging="360"/>
      </w:pPr>
    </w:lvl>
    <w:lvl w:ilvl="8" w:tplc="0410001B" w:tentative="1">
      <w:start w:val="1"/>
      <w:numFmt w:val="lowerRoman"/>
      <w:lvlText w:val="%9."/>
      <w:lvlJc w:val="right"/>
      <w:pPr>
        <w:ind w:left="7537" w:hanging="180"/>
      </w:pPr>
    </w:lvl>
  </w:abstractNum>
  <w:abstractNum w:abstractNumId="27">
    <w:nsid w:val="7897160E"/>
    <w:multiLevelType w:val="hybridMultilevel"/>
    <w:tmpl w:val="F7DEA752"/>
    <w:lvl w:ilvl="0" w:tplc="8C90FBAE">
      <w:start w:val="1"/>
      <w:numFmt w:val="decimal"/>
      <w:lvlText w:val="%1."/>
      <w:lvlJc w:val="left"/>
      <w:pPr>
        <w:ind w:left="1777" w:hanging="360"/>
      </w:pPr>
      <w:rPr>
        <w:rFonts w:hint="default"/>
      </w:rPr>
    </w:lvl>
    <w:lvl w:ilvl="1" w:tplc="04100019" w:tentative="1">
      <w:start w:val="1"/>
      <w:numFmt w:val="lowerLetter"/>
      <w:lvlText w:val="%2."/>
      <w:lvlJc w:val="left"/>
      <w:pPr>
        <w:ind w:left="2497" w:hanging="360"/>
      </w:pPr>
    </w:lvl>
    <w:lvl w:ilvl="2" w:tplc="0410001B" w:tentative="1">
      <w:start w:val="1"/>
      <w:numFmt w:val="lowerRoman"/>
      <w:lvlText w:val="%3."/>
      <w:lvlJc w:val="right"/>
      <w:pPr>
        <w:ind w:left="3217" w:hanging="180"/>
      </w:pPr>
    </w:lvl>
    <w:lvl w:ilvl="3" w:tplc="0410000F" w:tentative="1">
      <w:start w:val="1"/>
      <w:numFmt w:val="decimal"/>
      <w:lvlText w:val="%4."/>
      <w:lvlJc w:val="left"/>
      <w:pPr>
        <w:ind w:left="3937" w:hanging="360"/>
      </w:pPr>
    </w:lvl>
    <w:lvl w:ilvl="4" w:tplc="04100019" w:tentative="1">
      <w:start w:val="1"/>
      <w:numFmt w:val="lowerLetter"/>
      <w:lvlText w:val="%5."/>
      <w:lvlJc w:val="left"/>
      <w:pPr>
        <w:ind w:left="4657" w:hanging="360"/>
      </w:pPr>
    </w:lvl>
    <w:lvl w:ilvl="5" w:tplc="0410001B" w:tentative="1">
      <w:start w:val="1"/>
      <w:numFmt w:val="lowerRoman"/>
      <w:lvlText w:val="%6."/>
      <w:lvlJc w:val="right"/>
      <w:pPr>
        <w:ind w:left="5377" w:hanging="180"/>
      </w:pPr>
    </w:lvl>
    <w:lvl w:ilvl="6" w:tplc="0410000F" w:tentative="1">
      <w:start w:val="1"/>
      <w:numFmt w:val="decimal"/>
      <w:lvlText w:val="%7."/>
      <w:lvlJc w:val="left"/>
      <w:pPr>
        <w:ind w:left="6097" w:hanging="360"/>
      </w:pPr>
    </w:lvl>
    <w:lvl w:ilvl="7" w:tplc="04100019" w:tentative="1">
      <w:start w:val="1"/>
      <w:numFmt w:val="lowerLetter"/>
      <w:lvlText w:val="%8."/>
      <w:lvlJc w:val="left"/>
      <w:pPr>
        <w:ind w:left="6817" w:hanging="360"/>
      </w:pPr>
    </w:lvl>
    <w:lvl w:ilvl="8" w:tplc="0410001B" w:tentative="1">
      <w:start w:val="1"/>
      <w:numFmt w:val="lowerRoman"/>
      <w:lvlText w:val="%9."/>
      <w:lvlJc w:val="right"/>
      <w:pPr>
        <w:ind w:left="7537" w:hanging="180"/>
      </w:pPr>
    </w:lvl>
  </w:abstractNum>
  <w:abstractNum w:abstractNumId="28">
    <w:nsid w:val="78C14E9C"/>
    <w:multiLevelType w:val="multilevel"/>
    <w:tmpl w:val="0DA28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30466D"/>
    <w:multiLevelType w:val="hybridMultilevel"/>
    <w:tmpl w:val="52FAD732"/>
    <w:lvl w:ilvl="0" w:tplc="2B7A6CB8">
      <w:start w:val="1"/>
      <w:numFmt w:val="decimal"/>
      <w:lvlText w:val="%1."/>
      <w:lvlJc w:val="left"/>
      <w:pPr>
        <w:ind w:left="1777" w:hanging="360"/>
      </w:pPr>
      <w:rPr>
        <w:rFonts w:hint="default"/>
      </w:rPr>
    </w:lvl>
    <w:lvl w:ilvl="1" w:tplc="04100019" w:tentative="1">
      <w:start w:val="1"/>
      <w:numFmt w:val="lowerLetter"/>
      <w:lvlText w:val="%2."/>
      <w:lvlJc w:val="left"/>
      <w:pPr>
        <w:ind w:left="2497" w:hanging="360"/>
      </w:pPr>
    </w:lvl>
    <w:lvl w:ilvl="2" w:tplc="0410001B" w:tentative="1">
      <w:start w:val="1"/>
      <w:numFmt w:val="lowerRoman"/>
      <w:lvlText w:val="%3."/>
      <w:lvlJc w:val="right"/>
      <w:pPr>
        <w:ind w:left="3217" w:hanging="180"/>
      </w:pPr>
    </w:lvl>
    <w:lvl w:ilvl="3" w:tplc="0410000F" w:tentative="1">
      <w:start w:val="1"/>
      <w:numFmt w:val="decimal"/>
      <w:lvlText w:val="%4."/>
      <w:lvlJc w:val="left"/>
      <w:pPr>
        <w:ind w:left="3937" w:hanging="360"/>
      </w:pPr>
    </w:lvl>
    <w:lvl w:ilvl="4" w:tplc="04100019" w:tentative="1">
      <w:start w:val="1"/>
      <w:numFmt w:val="lowerLetter"/>
      <w:lvlText w:val="%5."/>
      <w:lvlJc w:val="left"/>
      <w:pPr>
        <w:ind w:left="4657" w:hanging="360"/>
      </w:pPr>
    </w:lvl>
    <w:lvl w:ilvl="5" w:tplc="0410001B" w:tentative="1">
      <w:start w:val="1"/>
      <w:numFmt w:val="lowerRoman"/>
      <w:lvlText w:val="%6."/>
      <w:lvlJc w:val="right"/>
      <w:pPr>
        <w:ind w:left="5377" w:hanging="180"/>
      </w:pPr>
    </w:lvl>
    <w:lvl w:ilvl="6" w:tplc="0410000F" w:tentative="1">
      <w:start w:val="1"/>
      <w:numFmt w:val="decimal"/>
      <w:lvlText w:val="%7."/>
      <w:lvlJc w:val="left"/>
      <w:pPr>
        <w:ind w:left="6097" w:hanging="360"/>
      </w:pPr>
    </w:lvl>
    <w:lvl w:ilvl="7" w:tplc="04100019" w:tentative="1">
      <w:start w:val="1"/>
      <w:numFmt w:val="lowerLetter"/>
      <w:lvlText w:val="%8."/>
      <w:lvlJc w:val="left"/>
      <w:pPr>
        <w:ind w:left="6817" w:hanging="360"/>
      </w:pPr>
    </w:lvl>
    <w:lvl w:ilvl="8" w:tplc="0410001B" w:tentative="1">
      <w:start w:val="1"/>
      <w:numFmt w:val="lowerRoman"/>
      <w:lvlText w:val="%9."/>
      <w:lvlJc w:val="right"/>
      <w:pPr>
        <w:ind w:left="7537" w:hanging="180"/>
      </w:pPr>
    </w:lvl>
  </w:abstractNum>
  <w:num w:numId="1">
    <w:abstractNumId w:val="3"/>
  </w:num>
  <w:num w:numId="2">
    <w:abstractNumId w:val="7"/>
  </w:num>
  <w:num w:numId="3">
    <w:abstractNumId w:val="14"/>
  </w:num>
  <w:num w:numId="4">
    <w:abstractNumId w:val="22"/>
  </w:num>
  <w:num w:numId="5">
    <w:abstractNumId w:val="27"/>
  </w:num>
  <w:num w:numId="6">
    <w:abstractNumId w:val="28"/>
  </w:num>
  <w:num w:numId="7">
    <w:abstractNumId w:val="10"/>
  </w:num>
  <w:num w:numId="8">
    <w:abstractNumId w:val="12"/>
  </w:num>
  <w:num w:numId="9">
    <w:abstractNumId w:val="2"/>
  </w:num>
  <w:num w:numId="10">
    <w:abstractNumId w:val="17"/>
  </w:num>
  <w:num w:numId="11">
    <w:abstractNumId w:val="16"/>
  </w:num>
  <w:num w:numId="12">
    <w:abstractNumId w:val="11"/>
  </w:num>
  <w:num w:numId="13">
    <w:abstractNumId w:val="5"/>
  </w:num>
  <w:num w:numId="14">
    <w:abstractNumId w:val="24"/>
  </w:num>
  <w:num w:numId="15">
    <w:abstractNumId w:val="20"/>
  </w:num>
  <w:num w:numId="16">
    <w:abstractNumId w:val="19"/>
  </w:num>
  <w:num w:numId="17">
    <w:abstractNumId w:val="6"/>
  </w:num>
  <w:num w:numId="18">
    <w:abstractNumId w:val="25"/>
  </w:num>
  <w:num w:numId="19">
    <w:abstractNumId w:val="18"/>
  </w:num>
  <w:num w:numId="20">
    <w:abstractNumId w:val="23"/>
  </w:num>
  <w:num w:numId="21">
    <w:abstractNumId w:val="0"/>
  </w:num>
  <w:num w:numId="22">
    <w:abstractNumId w:val="21"/>
  </w:num>
  <w:num w:numId="23">
    <w:abstractNumId w:val="9"/>
  </w:num>
  <w:num w:numId="24">
    <w:abstractNumId w:val="26"/>
  </w:num>
  <w:num w:numId="25">
    <w:abstractNumId w:val="8"/>
  </w:num>
  <w:num w:numId="26">
    <w:abstractNumId w:val="29"/>
  </w:num>
  <w:num w:numId="27">
    <w:abstractNumId w:val="4"/>
  </w:num>
  <w:num w:numId="28">
    <w:abstractNumId w:val="15"/>
  </w:num>
  <w:num w:numId="29">
    <w:abstractNumId w:val="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63"/>
    <w:rsid w:val="0000003B"/>
    <w:rsid w:val="0000141D"/>
    <w:rsid w:val="000027F7"/>
    <w:rsid w:val="00002EA5"/>
    <w:rsid w:val="00002F22"/>
    <w:rsid w:val="000032A4"/>
    <w:rsid w:val="00004132"/>
    <w:rsid w:val="00004A8B"/>
    <w:rsid w:val="000076E2"/>
    <w:rsid w:val="000079E4"/>
    <w:rsid w:val="00010536"/>
    <w:rsid w:val="00013B56"/>
    <w:rsid w:val="00014EA8"/>
    <w:rsid w:val="00015651"/>
    <w:rsid w:val="000173BD"/>
    <w:rsid w:val="00017F68"/>
    <w:rsid w:val="00023BF2"/>
    <w:rsid w:val="00031F33"/>
    <w:rsid w:val="000372FB"/>
    <w:rsid w:val="000404F3"/>
    <w:rsid w:val="00040A74"/>
    <w:rsid w:val="000414BB"/>
    <w:rsid w:val="00041C1A"/>
    <w:rsid w:val="00042BE0"/>
    <w:rsid w:val="000455AE"/>
    <w:rsid w:val="000456B0"/>
    <w:rsid w:val="00045E11"/>
    <w:rsid w:val="00051D8D"/>
    <w:rsid w:val="00052811"/>
    <w:rsid w:val="00055B1D"/>
    <w:rsid w:val="00055E6B"/>
    <w:rsid w:val="00056011"/>
    <w:rsid w:val="000563EA"/>
    <w:rsid w:val="00057418"/>
    <w:rsid w:val="00057567"/>
    <w:rsid w:val="00057695"/>
    <w:rsid w:val="0006095C"/>
    <w:rsid w:val="000617BB"/>
    <w:rsid w:val="00062D8A"/>
    <w:rsid w:val="00064ED0"/>
    <w:rsid w:val="00066246"/>
    <w:rsid w:val="00066FF6"/>
    <w:rsid w:val="00072535"/>
    <w:rsid w:val="000739F2"/>
    <w:rsid w:val="00073D1C"/>
    <w:rsid w:val="00074852"/>
    <w:rsid w:val="00075708"/>
    <w:rsid w:val="00076751"/>
    <w:rsid w:val="000813A2"/>
    <w:rsid w:val="00085F55"/>
    <w:rsid w:val="00086E66"/>
    <w:rsid w:val="00087EA6"/>
    <w:rsid w:val="00091061"/>
    <w:rsid w:val="0009128F"/>
    <w:rsid w:val="00093512"/>
    <w:rsid w:val="000A0464"/>
    <w:rsid w:val="000A1175"/>
    <w:rsid w:val="000A2DA1"/>
    <w:rsid w:val="000A334D"/>
    <w:rsid w:val="000A3A03"/>
    <w:rsid w:val="000A4DC2"/>
    <w:rsid w:val="000A69A1"/>
    <w:rsid w:val="000A6F25"/>
    <w:rsid w:val="000A7A6B"/>
    <w:rsid w:val="000B0C08"/>
    <w:rsid w:val="000B0F33"/>
    <w:rsid w:val="000B1B8B"/>
    <w:rsid w:val="000B2489"/>
    <w:rsid w:val="000C1128"/>
    <w:rsid w:val="000C1D4A"/>
    <w:rsid w:val="000C32AB"/>
    <w:rsid w:val="000C40B4"/>
    <w:rsid w:val="000C45F8"/>
    <w:rsid w:val="000C7A71"/>
    <w:rsid w:val="000E306D"/>
    <w:rsid w:val="000E32D2"/>
    <w:rsid w:val="000E3B1D"/>
    <w:rsid w:val="000E7F0C"/>
    <w:rsid w:val="000F14B3"/>
    <w:rsid w:val="000F3902"/>
    <w:rsid w:val="00100C96"/>
    <w:rsid w:val="00100DD3"/>
    <w:rsid w:val="0010300C"/>
    <w:rsid w:val="00106708"/>
    <w:rsid w:val="00107017"/>
    <w:rsid w:val="00111DD2"/>
    <w:rsid w:val="001145CC"/>
    <w:rsid w:val="001159DE"/>
    <w:rsid w:val="001172CD"/>
    <w:rsid w:val="0011760B"/>
    <w:rsid w:val="00117A3A"/>
    <w:rsid w:val="00120831"/>
    <w:rsid w:val="001211C6"/>
    <w:rsid w:val="00121966"/>
    <w:rsid w:val="00121E31"/>
    <w:rsid w:val="001270DA"/>
    <w:rsid w:val="00127B47"/>
    <w:rsid w:val="00135526"/>
    <w:rsid w:val="00136503"/>
    <w:rsid w:val="00137DE9"/>
    <w:rsid w:val="00140C23"/>
    <w:rsid w:val="00141922"/>
    <w:rsid w:val="00141E82"/>
    <w:rsid w:val="00143CFC"/>
    <w:rsid w:val="00144B16"/>
    <w:rsid w:val="001450E4"/>
    <w:rsid w:val="0015130A"/>
    <w:rsid w:val="00151F63"/>
    <w:rsid w:val="00152512"/>
    <w:rsid w:val="00152F16"/>
    <w:rsid w:val="00152F67"/>
    <w:rsid w:val="001548E6"/>
    <w:rsid w:val="00155D2E"/>
    <w:rsid w:val="00155E6D"/>
    <w:rsid w:val="001601F1"/>
    <w:rsid w:val="0016240D"/>
    <w:rsid w:val="00164BB6"/>
    <w:rsid w:val="00166076"/>
    <w:rsid w:val="001670DF"/>
    <w:rsid w:val="00171C3E"/>
    <w:rsid w:val="001804F8"/>
    <w:rsid w:val="001813A8"/>
    <w:rsid w:val="001821A0"/>
    <w:rsid w:val="001841CE"/>
    <w:rsid w:val="001848CE"/>
    <w:rsid w:val="0018495C"/>
    <w:rsid w:val="00186706"/>
    <w:rsid w:val="00186A95"/>
    <w:rsid w:val="001872F6"/>
    <w:rsid w:val="001905E4"/>
    <w:rsid w:val="001926E4"/>
    <w:rsid w:val="00197C81"/>
    <w:rsid w:val="001A0B13"/>
    <w:rsid w:val="001A247D"/>
    <w:rsid w:val="001A2517"/>
    <w:rsid w:val="001A498C"/>
    <w:rsid w:val="001A5A34"/>
    <w:rsid w:val="001B0877"/>
    <w:rsid w:val="001B28AB"/>
    <w:rsid w:val="001B36E8"/>
    <w:rsid w:val="001B425A"/>
    <w:rsid w:val="001B425E"/>
    <w:rsid w:val="001B60FE"/>
    <w:rsid w:val="001B7C4A"/>
    <w:rsid w:val="001C2384"/>
    <w:rsid w:val="001C2453"/>
    <w:rsid w:val="001C7C65"/>
    <w:rsid w:val="001D2817"/>
    <w:rsid w:val="001D3561"/>
    <w:rsid w:val="001D4B32"/>
    <w:rsid w:val="001D6875"/>
    <w:rsid w:val="001D746D"/>
    <w:rsid w:val="001E0610"/>
    <w:rsid w:val="001E57FE"/>
    <w:rsid w:val="001F3666"/>
    <w:rsid w:val="001F4E87"/>
    <w:rsid w:val="002022BB"/>
    <w:rsid w:val="00204CA8"/>
    <w:rsid w:val="00206B38"/>
    <w:rsid w:val="00213B54"/>
    <w:rsid w:val="00214C2B"/>
    <w:rsid w:val="00222736"/>
    <w:rsid w:val="002229E3"/>
    <w:rsid w:val="00227818"/>
    <w:rsid w:val="00230754"/>
    <w:rsid w:val="0023093E"/>
    <w:rsid w:val="00231781"/>
    <w:rsid w:val="00234E59"/>
    <w:rsid w:val="00234F2F"/>
    <w:rsid w:val="00237A44"/>
    <w:rsid w:val="00237F6A"/>
    <w:rsid w:val="00240100"/>
    <w:rsid w:val="00240F18"/>
    <w:rsid w:val="00242AA6"/>
    <w:rsid w:val="002448A6"/>
    <w:rsid w:val="00244FD7"/>
    <w:rsid w:val="00246CD5"/>
    <w:rsid w:val="00247D22"/>
    <w:rsid w:val="00251D47"/>
    <w:rsid w:val="00253EEF"/>
    <w:rsid w:val="002634B1"/>
    <w:rsid w:val="00264656"/>
    <w:rsid w:val="00265032"/>
    <w:rsid w:val="00265E57"/>
    <w:rsid w:val="0026686C"/>
    <w:rsid w:val="0026754D"/>
    <w:rsid w:val="00270490"/>
    <w:rsid w:val="00275D2D"/>
    <w:rsid w:val="00275E2E"/>
    <w:rsid w:val="00276AD5"/>
    <w:rsid w:val="00280D91"/>
    <w:rsid w:val="00282D08"/>
    <w:rsid w:val="00284200"/>
    <w:rsid w:val="002850D5"/>
    <w:rsid w:val="002854AA"/>
    <w:rsid w:val="00286011"/>
    <w:rsid w:val="00286569"/>
    <w:rsid w:val="002872EB"/>
    <w:rsid w:val="00290A5B"/>
    <w:rsid w:val="0029256F"/>
    <w:rsid w:val="002926CD"/>
    <w:rsid w:val="00293075"/>
    <w:rsid w:val="00293CF3"/>
    <w:rsid w:val="00294A33"/>
    <w:rsid w:val="002954C7"/>
    <w:rsid w:val="00296335"/>
    <w:rsid w:val="00296F47"/>
    <w:rsid w:val="002A2C32"/>
    <w:rsid w:val="002A4943"/>
    <w:rsid w:val="002B0DB9"/>
    <w:rsid w:val="002B218D"/>
    <w:rsid w:val="002B270F"/>
    <w:rsid w:val="002B4663"/>
    <w:rsid w:val="002B476C"/>
    <w:rsid w:val="002B6F80"/>
    <w:rsid w:val="002C01B8"/>
    <w:rsid w:val="002C48B3"/>
    <w:rsid w:val="002C4DE8"/>
    <w:rsid w:val="002C614D"/>
    <w:rsid w:val="002D01A2"/>
    <w:rsid w:val="002D1D9D"/>
    <w:rsid w:val="002E007B"/>
    <w:rsid w:val="002E38B0"/>
    <w:rsid w:val="002E3944"/>
    <w:rsid w:val="002E3E5F"/>
    <w:rsid w:val="002E45D7"/>
    <w:rsid w:val="002E5BA3"/>
    <w:rsid w:val="002E6A6B"/>
    <w:rsid w:val="002F0141"/>
    <w:rsid w:val="002F5313"/>
    <w:rsid w:val="002F5671"/>
    <w:rsid w:val="002F6537"/>
    <w:rsid w:val="002F6C67"/>
    <w:rsid w:val="002F7897"/>
    <w:rsid w:val="00305DF3"/>
    <w:rsid w:val="00306612"/>
    <w:rsid w:val="00307084"/>
    <w:rsid w:val="003117A2"/>
    <w:rsid w:val="00313017"/>
    <w:rsid w:val="003143C8"/>
    <w:rsid w:val="00314645"/>
    <w:rsid w:val="00320008"/>
    <w:rsid w:val="0032056C"/>
    <w:rsid w:val="00321BFE"/>
    <w:rsid w:val="0032448B"/>
    <w:rsid w:val="003262F3"/>
    <w:rsid w:val="003264EA"/>
    <w:rsid w:val="00326EBB"/>
    <w:rsid w:val="00327D7B"/>
    <w:rsid w:val="00330345"/>
    <w:rsid w:val="00331337"/>
    <w:rsid w:val="0033139C"/>
    <w:rsid w:val="00332C2A"/>
    <w:rsid w:val="00335F37"/>
    <w:rsid w:val="003364A2"/>
    <w:rsid w:val="003403BE"/>
    <w:rsid w:val="00340C05"/>
    <w:rsid w:val="00342502"/>
    <w:rsid w:val="0035064C"/>
    <w:rsid w:val="00357CA4"/>
    <w:rsid w:val="00357F2D"/>
    <w:rsid w:val="00373628"/>
    <w:rsid w:val="00376928"/>
    <w:rsid w:val="003807BD"/>
    <w:rsid w:val="00384FEA"/>
    <w:rsid w:val="003860F0"/>
    <w:rsid w:val="00387641"/>
    <w:rsid w:val="003909CE"/>
    <w:rsid w:val="0039104A"/>
    <w:rsid w:val="003933DA"/>
    <w:rsid w:val="00393CEA"/>
    <w:rsid w:val="00394483"/>
    <w:rsid w:val="0039570B"/>
    <w:rsid w:val="00397C96"/>
    <w:rsid w:val="003A0405"/>
    <w:rsid w:val="003A062A"/>
    <w:rsid w:val="003A44D3"/>
    <w:rsid w:val="003A5794"/>
    <w:rsid w:val="003A62E4"/>
    <w:rsid w:val="003A6DFA"/>
    <w:rsid w:val="003B5DF4"/>
    <w:rsid w:val="003C0112"/>
    <w:rsid w:val="003C01AA"/>
    <w:rsid w:val="003C7730"/>
    <w:rsid w:val="003D5BB0"/>
    <w:rsid w:val="003D5CED"/>
    <w:rsid w:val="003D616E"/>
    <w:rsid w:val="003F419B"/>
    <w:rsid w:val="003F7073"/>
    <w:rsid w:val="003F7A27"/>
    <w:rsid w:val="00403F87"/>
    <w:rsid w:val="0040548E"/>
    <w:rsid w:val="00406F72"/>
    <w:rsid w:val="00407AA3"/>
    <w:rsid w:val="00414080"/>
    <w:rsid w:val="00416572"/>
    <w:rsid w:val="00416B6E"/>
    <w:rsid w:val="00417B0D"/>
    <w:rsid w:val="0042006F"/>
    <w:rsid w:val="00421D49"/>
    <w:rsid w:val="00423274"/>
    <w:rsid w:val="0042434E"/>
    <w:rsid w:val="00424611"/>
    <w:rsid w:val="00425EC9"/>
    <w:rsid w:val="004270D9"/>
    <w:rsid w:val="00431273"/>
    <w:rsid w:val="0043134F"/>
    <w:rsid w:val="00431A2F"/>
    <w:rsid w:val="00431FE3"/>
    <w:rsid w:val="00432E8F"/>
    <w:rsid w:val="004340AB"/>
    <w:rsid w:val="00435332"/>
    <w:rsid w:val="0043578A"/>
    <w:rsid w:val="004376BB"/>
    <w:rsid w:val="00441A60"/>
    <w:rsid w:val="00443F51"/>
    <w:rsid w:val="00444207"/>
    <w:rsid w:val="00444D20"/>
    <w:rsid w:val="00445517"/>
    <w:rsid w:val="00446530"/>
    <w:rsid w:val="00446B57"/>
    <w:rsid w:val="004534DD"/>
    <w:rsid w:val="00453A53"/>
    <w:rsid w:val="00453A84"/>
    <w:rsid w:val="0045699E"/>
    <w:rsid w:val="00456D5A"/>
    <w:rsid w:val="004615D4"/>
    <w:rsid w:val="0047096F"/>
    <w:rsid w:val="00470BD6"/>
    <w:rsid w:val="00470BFB"/>
    <w:rsid w:val="0047560C"/>
    <w:rsid w:val="004766AB"/>
    <w:rsid w:val="004807C4"/>
    <w:rsid w:val="00480A51"/>
    <w:rsid w:val="0048201C"/>
    <w:rsid w:val="00482903"/>
    <w:rsid w:val="00482A68"/>
    <w:rsid w:val="00483AD7"/>
    <w:rsid w:val="0048421D"/>
    <w:rsid w:val="00484517"/>
    <w:rsid w:val="004852F8"/>
    <w:rsid w:val="0049149A"/>
    <w:rsid w:val="00492B86"/>
    <w:rsid w:val="00493FFD"/>
    <w:rsid w:val="0049431F"/>
    <w:rsid w:val="00494DD8"/>
    <w:rsid w:val="00495F14"/>
    <w:rsid w:val="0049617E"/>
    <w:rsid w:val="00497BA5"/>
    <w:rsid w:val="004A17A4"/>
    <w:rsid w:val="004A3918"/>
    <w:rsid w:val="004A6FDF"/>
    <w:rsid w:val="004B14EF"/>
    <w:rsid w:val="004B1DE0"/>
    <w:rsid w:val="004B3769"/>
    <w:rsid w:val="004B708D"/>
    <w:rsid w:val="004C16F8"/>
    <w:rsid w:val="004C3110"/>
    <w:rsid w:val="004C3FC7"/>
    <w:rsid w:val="004C5FAF"/>
    <w:rsid w:val="004C63CB"/>
    <w:rsid w:val="004D4057"/>
    <w:rsid w:val="004D4FCA"/>
    <w:rsid w:val="004D511D"/>
    <w:rsid w:val="004D59C2"/>
    <w:rsid w:val="004D7923"/>
    <w:rsid w:val="004E2D93"/>
    <w:rsid w:val="004E2DE7"/>
    <w:rsid w:val="004E59AE"/>
    <w:rsid w:val="004F194E"/>
    <w:rsid w:val="004F2284"/>
    <w:rsid w:val="004F7114"/>
    <w:rsid w:val="00500D9B"/>
    <w:rsid w:val="0050573D"/>
    <w:rsid w:val="00505907"/>
    <w:rsid w:val="00505B36"/>
    <w:rsid w:val="00506919"/>
    <w:rsid w:val="00506F51"/>
    <w:rsid w:val="005078F6"/>
    <w:rsid w:val="00510115"/>
    <w:rsid w:val="00512789"/>
    <w:rsid w:val="00515307"/>
    <w:rsid w:val="00530385"/>
    <w:rsid w:val="005327C7"/>
    <w:rsid w:val="005344F0"/>
    <w:rsid w:val="00534713"/>
    <w:rsid w:val="00534C82"/>
    <w:rsid w:val="005360EF"/>
    <w:rsid w:val="00541B42"/>
    <w:rsid w:val="00542D76"/>
    <w:rsid w:val="0054318E"/>
    <w:rsid w:val="0054418E"/>
    <w:rsid w:val="00554560"/>
    <w:rsid w:val="00555A58"/>
    <w:rsid w:val="00557AF0"/>
    <w:rsid w:val="00561E97"/>
    <w:rsid w:val="00564429"/>
    <w:rsid w:val="00564512"/>
    <w:rsid w:val="00566509"/>
    <w:rsid w:val="0056720B"/>
    <w:rsid w:val="00571F8A"/>
    <w:rsid w:val="00573317"/>
    <w:rsid w:val="005770E5"/>
    <w:rsid w:val="0057712C"/>
    <w:rsid w:val="00581E78"/>
    <w:rsid w:val="005834AC"/>
    <w:rsid w:val="00583B4D"/>
    <w:rsid w:val="005863D0"/>
    <w:rsid w:val="00590F07"/>
    <w:rsid w:val="00592292"/>
    <w:rsid w:val="00592580"/>
    <w:rsid w:val="00592F92"/>
    <w:rsid w:val="005933E3"/>
    <w:rsid w:val="00593BB0"/>
    <w:rsid w:val="005960D3"/>
    <w:rsid w:val="005A0B8A"/>
    <w:rsid w:val="005A190E"/>
    <w:rsid w:val="005A4992"/>
    <w:rsid w:val="005A7271"/>
    <w:rsid w:val="005B199D"/>
    <w:rsid w:val="005B2954"/>
    <w:rsid w:val="005B4223"/>
    <w:rsid w:val="005B431F"/>
    <w:rsid w:val="005B5385"/>
    <w:rsid w:val="005B7703"/>
    <w:rsid w:val="005B7AA8"/>
    <w:rsid w:val="005C17EA"/>
    <w:rsid w:val="005C2763"/>
    <w:rsid w:val="005D147D"/>
    <w:rsid w:val="005D1FF5"/>
    <w:rsid w:val="005D2ECC"/>
    <w:rsid w:val="005D6553"/>
    <w:rsid w:val="005E119D"/>
    <w:rsid w:val="005E60E8"/>
    <w:rsid w:val="005E756D"/>
    <w:rsid w:val="005F00D3"/>
    <w:rsid w:val="005F036D"/>
    <w:rsid w:val="005F044F"/>
    <w:rsid w:val="005F63E6"/>
    <w:rsid w:val="00602FCF"/>
    <w:rsid w:val="00607641"/>
    <w:rsid w:val="00607F6B"/>
    <w:rsid w:val="00617649"/>
    <w:rsid w:val="0062021B"/>
    <w:rsid w:val="00621FDD"/>
    <w:rsid w:val="00626A0C"/>
    <w:rsid w:val="0063028B"/>
    <w:rsid w:val="00633239"/>
    <w:rsid w:val="006355DE"/>
    <w:rsid w:val="0064076F"/>
    <w:rsid w:val="006435FC"/>
    <w:rsid w:val="00650184"/>
    <w:rsid w:val="00652433"/>
    <w:rsid w:val="00660F59"/>
    <w:rsid w:val="0066709E"/>
    <w:rsid w:val="006671E5"/>
    <w:rsid w:val="00667E46"/>
    <w:rsid w:val="006713EC"/>
    <w:rsid w:val="006718FB"/>
    <w:rsid w:val="00671AC7"/>
    <w:rsid w:val="00672129"/>
    <w:rsid w:val="00675FDB"/>
    <w:rsid w:val="00676437"/>
    <w:rsid w:val="00676490"/>
    <w:rsid w:val="00677DB9"/>
    <w:rsid w:val="00682828"/>
    <w:rsid w:val="0068491F"/>
    <w:rsid w:val="006852B5"/>
    <w:rsid w:val="00687383"/>
    <w:rsid w:val="0068780E"/>
    <w:rsid w:val="006936D9"/>
    <w:rsid w:val="006937BB"/>
    <w:rsid w:val="00694EEB"/>
    <w:rsid w:val="006972ED"/>
    <w:rsid w:val="006A3CA2"/>
    <w:rsid w:val="006B1076"/>
    <w:rsid w:val="006B10A0"/>
    <w:rsid w:val="006B4297"/>
    <w:rsid w:val="006B5469"/>
    <w:rsid w:val="006B767D"/>
    <w:rsid w:val="006C107C"/>
    <w:rsid w:val="006C39CD"/>
    <w:rsid w:val="006D1878"/>
    <w:rsid w:val="006D1F2A"/>
    <w:rsid w:val="006D2E0B"/>
    <w:rsid w:val="006D5851"/>
    <w:rsid w:val="006D6409"/>
    <w:rsid w:val="006D6981"/>
    <w:rsid w:val="006D6D43"/>
    <w:rsid w:val="006E1963"/>
    <w:rsid w:val="006E2EAA"/>
    <w:rsid w:val="006E3EB0"/>
    <w:rsid w:val="006E40C4"/>
    <w:rsid w:val="006E5809"/>
    <w:rsid w:val="006E6B18"/>
    <w:rsid w:val="006F31C5"/>
    <w:rsid w:val="006F4559"/>
    <w:rsid w:val="006F4D8E"/>
    <w:rsid w:val="006F57C1"/>
    <w:rsid w:val="006F6EC4"/>
    <w:rsid w:val="007017FD"/>
    <w:rsid w:val="00707DA2"/>
    <w:rsid w:val="00710424"/>
    <w:rsid w:val="00710776"/>
    <w:rsid w:val="0071180A"/>
    <w:rsid w:val="007135EC"/>
    <w:rsid w:val="00713B90"/>
    <w:rsid w:val="00715F44"/>
    <w:rsid w:val="0072124B"/>
    <w:rsid w:val="00722F38"/>
    <w:rsid w:val="00732470"/>
    <w:rsid w:val="00734D83"/>
    <w:rsid w:val="0074118E"/>
    <w:rsid w:val="00741646"/>
    <w:rsid w:val="00742909"/>
    <w:rsid w:val="00744F04"/>
    <w:rsid w:val="007455BC"/>
    <w:rsid w:val="0075691B"/>
    <w:rsid w:val="007579B8"/>
    <w:rsid w:val="00757F87"/>
    <w:rsid w:val="00762985"/>
    <w:rsid w:val="0076444E"/>
    <w:rsid w:val="0076489B"/>
    <w:rsid w:val="00764CF6"/>
    <w:rsid w:val="00765A8C"/>
    <w:rsid w:val="007669CC"/>
    <w:rsid w:val="00767787"/>
    <w:rsid w:val="00770F64"/>
    <w:rsid w:val="00771892"/>
    <w:rsid w:val="00771909"/>
    <w:rsid w:val="00771F91"/>
    <w:rsid w:val="007723B3"/>
    <w:rsid w:val="0077404C"/>
    <w:rsid w:val="00774CEB"/>
    <w:rsid w:val="00775DE0"/>
    <w:rsid w:val="00776F58"/>
    <w:rsid w:val="00777E54"/>
    <w:rsid w:val="00781232"/>
    <w:rsid w:val="0078245F"/>
    <w:rsid w:val="0078789F"/>
    <w:rsid w:val="00790966"/>
    <w:rsid w:val="007911EB"/>
    <w:rsid w:val="00791251"/>
    <w:rsid w:val="00793B0C"/>
    <w:rsid w:val="00794044"/>
    <w:rsid w:val="00794AC9"/>
    <w:rsid w:val="00796F9F"/>
    <w:rsid w:val="007A1C99"/>
    <w:rsid w:val="007A2256"/>
    <w:rsid w:val="007A3348"/>
    <w:rsid w:val="007A466E"/>
    <w:rsid w:val="007A68E1"/>
    <w:rsid w:val="007B3054"/>
    <w:rsid w:val="007B30F3"/>
    <w:rsid w:val="007B31B8"/>
    <w:rsid w:val="007B4230"/>
    <w:rsid w:val="007B5E5D"/>
    <w:rsid w:val="007C12F1"/>
    <w:rsid w:val="007C1786"/>
    <w:rsid w:val="007C23E0"/>
    <w:rsid w:val="007C259D"/>
    <w:rsid w:val="007C5F24"/>
    <w:rsid w:val="007C732A"/>
    <w:rsid w:val="007D238C"/>
    <w:rsid w:val="007D547F"/>
    <w:rsid w:val="007D5EEE"/>
    <w:rsid w:val="007D767D"/>
    <w:rsid w:val="007D7B4A"/>
    <w:rsid w:val="007E1168"/>
    <w:rsid w:val="007E2102"/>
    <w:rsid w:val="007E2596"/>
    <w:rsid w:val="007E28EC"/>
    <w:rsid w:val="007E2923"/>
    <w:rsid w:val="007E2BD4"/>
    <w:rsid w:val="007E7990"/>
    <w:rsid w:val="007F225F"/>
    <w:rsid w:val="007F5531"/>
    <w:rsid w:val="007F6170"/>
    <w:rsid w:val="00800898"/>
    <w:rsid w:val="00800B6A"/>
    <w:rsid w:val="008018FD"/>
    <w:rsid w:val="00801E98"/>
    <w:rsid w:val="00802B09"/>
    <w:rsid w:val="008042B1"/>
    <w:rsid w:val="00804BB6"/>
    <w:rsid w:val="00814402"/>
    <w:rsid w:val="00814696"/>
    <w:rsid w:val="008153F3"/>
    <w:rsid w:val="0082065A"/>
    <w:rsid w:val="00823DB8"/>
    <w:rsid w:val="00827A7D"/>
    <w:rsid w:val="00827D7C"/>
    <w:rsid w:val="008314BC"/>
    <w:rsid w:val="0083648B"/>
    <w:rsid w:val="0083694E"/>
    <w:rsid w:val="008369A4"/>
    <w:rsid w:val="00837C34"/>
    <w:rsid w:val="00840FE7"/>
    <w:rsid w:val="00844EDA"/>
    <w:rsid w:val="0084511C"/>
    <w:rsid w:val="00851394"/>
    <w:rsid w:val="008527AD"/>
    <w:rsid w:val="00852BB3"/>
    <w:rsid w:val="00852C12"/>
    <w:rsid w:val="008545EB"/>
    <w:rsid w:val="00855978"/>
    <w:rsid w:val="00855C0D"/>
    <w:rsid w:val="00857BAE"/>
    <w:rsid w:val="00860E6E"/>
    <w:rsid w:val="008616D2"/>
    <w:rsid w:val="00862D26"/>
    <w:rsid w:val="008642C1"/>
    <w:rsid w:val="00864B6B"/>
    <w:rsid w:val="00866803"/>
    <w:rsid w:val="0087370B"/>
    <w:rsid w:val="00875F51"/>
    <w:rsid w:val="0088068A"/>
    <w:rsid w:val="00884091"/>
    <w:rsid w:val="0088517C"/>
    <w:rsid w:val="00885786"/>
    <w:rsid w:val="00890647"/>
    <w:rsid w:val="0089159B"/>
    <w:rsid w:val="0089254C"/>
    <w:rsid w:val="00895A6D"/>
    <w:rsid w:val="00895BCE"/>
    <w:rsid w:val="008960D4"/>
    <w:rsid w:val="00897115"/>
    <w:rsid w:val="0089777A"/>
    <w:rsid w:val="008A0CD3"/>
    <w:rsid w:val="008A2114"/>
    <w:rsid w:val="008A443A"/>
    <w:rsid w:val="008A59AB"/>
    <w:rsid w:val="008A7D43"/>
    <w:rsid w:val="008B034B"/>
    <w:rsid w:val="008B062B"/>
    <w:rsid w:val="008B23BB"/>
    <w:rsid w:val="008B242A"/>
    <w:rsid w:val="008B2AC9"/>
    <w:rsid w:val="008B3654"/>
    <w:rsid w:val="008B482F"/>
    <w:rsid w:val="008B4ABE"/>
    <w:rsid w:val="008B6872"/>
    <w:rsid w:val="008C220A"/>
    <w:rsid w:val="008C565C"/>
    <w:rsid w:val="008D0363"/>
    <w:rsid w:val="008D1E03"/>
    <w:rsid w:val="008D622D"/>
    <w:rsid w:val="008D63DA"/>
    <w:rsid w:val="008D6C14"/>
    <w:rsid w:val="008E1170"/>
    <w:rsid w:val="008E199C"/>
    <w:rsid w:val="008E1EF1"/>
    <w:rsid w:val="008E22F5"/>
    <w:rsid w:val="008E2F23"/>
    <w:rsid w:val="008E331C"/>
    <w:rsid w:val="008E3575"/>
    <w:rsid w:val="008E75CC"/>
    <w:rsid w:val="008F1FCB"/>
    <w:rsid w:val="008F2F67"/>
    <w:rsid w:val="00900339"/>
    <w:rsid w:val="00902528"/>
    <w:rsid w:val="00903440"/>
    <w:rsid w:val="009066F6"/>
    <w:rsid w:val="00907191"/>
    <w:rsid w:val="0091545E"/>
    <w:rsid w:val="00916396"/>
    <w:rsid w:val="0091735F"/>
    <w:rsid w:val="00920F96"/>
    <w:rsid w:val="009220FC"/>
    <w:rsid w:val="009229F0"/>
    <w:rsid w:val="00922B75"/>
    <w:rsid w:val="009239B1"/>
    <w:rsid w:val="00923B07"/>
    <w:rsid w:val="00925BA7"/>
    <w:rsid w:val="009300C3"/>
    <w:rsid w:val="00934F31"/>
    <w:rsid w:val="00936A7B"/>
    <w:rsid w:val="00937969"/>
    <w:rsid w:val="00946A87"/>
    <w:rsid w:val="009506E1"/>
    <w:rsid w:val="0095161C"/>
    <w:rsid w:val="00952CA2"/>
    <w:rsid w:val="00952E05"/>
    <w:rsid w:val="00956934"/>
    <w:rsid w:val="00962A46"/>
    <w:rsid w:val="009640AB"/>
    <w:rsid w:val="00971A24"/>
    <w:rsid w:val="009743FB"/>
    <w:rsid w:val="00974F9A"/>
    <w:rsid w:val="00975A64"/>
    <w:rsid w:val="0097660B"/>
    <w:rsid w:val="009772CE"/>
    <w:rsid w:val="00977781"/>
    <w:rsid w:val="00980B3F"/>
    <w:rsid w:val="00985161"/>
    <w:rsid w:val="00987A7D"/>
    <w:rsid w:val="0099115A"/>
    <w:rsid w:val="00995541"/>
    <w:rsid w:val="00995B75"/>
    <w:rsid w:val="009A05AA"/>
    <w:rsid w:val="009A0F2E"/>
    <w:rsid w:val="009A35F1"/>
    <w:rsid w:val="009A3F09"/>
    <w:rsid w:val="009A46B8"/>
    <w:rsid w:val="009A525E"/>
    <w:rsid w:val="009A5B18"/>
    <w:rsid w:val="009A5F4E"/>
    <w:rsid w:val="009B4F0B"/>
    <w:rsid w:val="009B7B5B"/>
    <w:rsid w:val="009C2036"/>
    <w:rsid w:val="009D4BAF"/>
    <w:rsid w:val="009D6EBE"/>
    <w:rsid w:val="009D7358"/>
    <w:rsid w:val="009D7AFE"/>
    <w:rsid w:val="009E0555"/>
    <w:rsid w:val="009E1B2B"/>
    <w:rsid w:val="009E1BC4"/>
    <w:rsid w:val="009E2108"/>
    <w:rsid w:val="009E2426"/>
    <w:rsid w:val="009E4497"/>
    <w:rsid w:val="009E46C4"/>
    <w:rsid w:val="009E4AA6"/>
    <w:rsid w:val="009E74AF"/>
    <w:rsid w:val="009E7619"/>
    <w:rsid w:val="009F36B6"/>
    <w:rsid w:val="009F6FB4"/>
    <w:rsid w:val="00A0082C"/>
    <w:rsid w:val="00A028AF"/>
    <w:rsid w:val="00A04D92"/>
    <w:rsid w:val="00A10C76"/>
    <w:rsid w:val="00A1150E"/>
    <w:rsid w:val="00A11900"/>
    <w:rsid w:val="00A11D0F"/>
    <w:rsid w:val="00A1207B"/>
    <w:rsid w:val="00A1515D"/>
    <w:rsid w:val="00A2100A"/>
    <w:rsid w:val="00A21A44"/>
    <w:rsid w:val="00A234CC"/>
    <w:rsid w:val="00A26BDB"/>
    <w:rsid w:val="00A31167"/>
    <w:rsid w:val="00A36ADC"/>
    <w:rsid w:val="00A37843"/>
    <w:rsid w:val="00A42FBA"/>
    <w:rsid w:val="00A43D08"/>
    <w:rsid w:val="00A44392"/>
    <w:rsid w:val="00A47018"/>
    <w:rsid w:val="00A5035E"/>
    <w:rsid w:val="00A523AE"/>
    <w:rsid w:val="00A53461"/>
    <w:rsid w:val="00A55283"/>
    <w:rsid w:val="00A56784"/>
    <w:rsid w:val="00A57A16"/>
    <w:rsid w:val="00A648E1"/>
    <w:rsid w:val="00A6780F"/>
    <w:rsid w:val="00A70E99"/>
    <w:rsid w:val="00A71002"/>
    <w:rsid w:val="00A73FDC"/>
    <w:rsid w:val="00A74811"/>
    <w:rsid w:val="00A77841"/>
    <w:rsid w:val="00A82D10"/>
    <w:rsid w:val="00A8347A"/>
    <w:rsid w:val="00A84DAD"/>
    <w:rsid w:val="00A86C75"/>
    <w:rsid w:val="00A870F2"/>
    <w:rsid w:val="00A877C1"/>
    <w:rsid w:val="00A87CD3"/>
    <w:rsid w:val="00A903EC"/>
    <w:rsid w:val="00A950CD"/>
    <w:rsid w:val="00A969A4"/>
    <w:rsid w:val="00A96DBC"/>
    <w:rsid w:val="00AA1C0B"/>
    <w:rsid w:val="00AA5817"/>
    <w:rsid w:val="00AB0BFE"/>
    <w:rsid w:val="00AB1078"/>
    <w:rsid w:val="00AB1931"/>
    <w:rsid w:val="00AB720E"/>
    <w:rsid w:val="00AB7E41"/>
    <w:rsid w:val="00AC1834"/>
    <w:rsid w:val="00AC39AF"/>
    <w:rsid w:val="00AC3EA1"/>
    <w:rsid w:val="00AC5C68"/>
    <w:rsid w:val="00AD229D"/>
    <w:rsid w:val="00AD4DEE"/>
    <w:rsid w:val="00AE0B3F"/>
    <w:rsid w:val="00AE217E"/>
    <w:rsid w:val="00AE708B"/>
    <w:rsid w:val="00AE743C"/>
    <w:rsid w:val="00AF1300"/>
    <w:rsid w:val="00AF1996"/>
    <w:rsid w:val="00AF3775"/>
    <w:rsid w:val="00AF6B7F"/>
    <w:rsid w:val="00AF7DA9"/>
    <w:rsid w:val="00B00795"/>
    <w:rsid w:val="00B01CCE"/>
    <w:rsid w:val="00B02C0D"/>
    <w:rsid w:val="00B05A14"/>
    <w:rsid w:val="00B066A6"/>
    <w:rsid w:val="00B1582F"/>
    <w:rsid w:val="00B2062B"/>
    <w:rsid w:val="00B21EB4"/>
    <w:rsid w:val="00B22862"/>
    <w:rsid w:val="00B25165"/>
    <w:rsid w:val="00B26558"/>
    <w:rsid w:val="00B32A7C"/>
    <w:rsid w:val="00B32D0E"/>
    <w:rsid w:val="00B33C88"/>
    <w:rsid w:val="00B44EAF"/>
    <w:rsid w:val="00B451CF"/>
    <w:rsid w:val="00B45414"/>
    <w:rsid w:val="00B50123"/>
    <w:rsid w:val="00B50353"/>
    <w:rsid w:val="00B50728"/>
    <w:rsid w:val="00B51B7B"/>
    <w:rsid w:val="00B5271B"/>
    <w:rsid w:val="00B52BBF"/>
    <w:rsid w:val="00B52D76"/>
    <w:rsid w:val="00B5456D"/>
    <w:rsid w:val="00B556F2"/>
    <w:rsid w:val="00B57A2E"/>
    <w:rsid w:val="00B608F8"/>
    <w:rsid w:val="00B641C0"/>
    <w:rsid w:val="00B65967"/>
    <w:rsid w:val="00B676B0"/>
    <w:rsid w:val="00B706BD"/>
    <w:rsid w:val="00B744A7"/>
    <w:rsid w:val="00B75C27"/>
    <w:rsid w:val="00B76426"/>
    <w:rsid w:val="00B80313"/>
    <w:rsid w:val="00B81B6F"/>
    <w:rsid w:val="00B81C0F"/>
    <w:rsid w:val="00B841B5"/>
    <w:rsid w:val="00B86049"/>
    <w:rsid w:val="00B90CB1"/>
    <w:rsid w:val="00B90D30"/>
    <w:rsid w:val="00B9289E"/>
    <w:rsid w:val="00B95FF8"/>
    <w:rsid w:val="00B96E19"/>
    <w:rsid w:val="00BA217E"/>
    <w:rsid w:val="00BA31FE"/>
    <w:rsid w:val="00BA3E80"/>
    <w:rsid w:val="00BA4D1C"/>
    <w:rsid w:val="00BA593E"/>
    <w:rsid w:val="00BA6AF4"/>
    <w:rsid w:val="00BA767E"/>
    <w:rsid w:val="00BA7913"/>
    <w:rsid w:val="00BA7F74"/>
    <w:rsid w:val="00BC538E"/>
    <w:rsid w:val="00BC576A"/>
    <w:rsid w:val="00BC63E7"/>
    <w:rsid w:val="00BC6FFA"/>
    <w:rsid w:val="00BC76D2"/>
    <w:rsid w:val="00BD1215"/>
    <w:rsid w:val="00BD26AA"/>
    <w:rsid w:val="00BD2A74"/>
    <w:rsid w:val="00BD300F"/>
    <w:rsid w:val="00BD4C9F"/>
    <w:rsid w:val="00BD4E5F"/>
    <w:rsid w:val="00BD6C3A"/>
    <w:rsid w:val="00BD7921"/>
    <w:rsid w:val="00BE1744"/>
    <w:rsid w:val="00BE3EBA"/>
    <w:rsid w:val="00BE44BF"/>
    <w:rsid w:val="00BE5B94"/>
    <w:rsid w:val="00BE5D7F"/>
    <w:rsid w:val="00BE6E4E"/>
    <w:rsid w:val="00BE7D6C"/>
    <w:rsid w:val="00BF2C17"/>
    <w:rsid w:val="00BF6878"/>
    <w:rsid w:val="00BF6E59"/>
    <w:rsid w:val="00C0116A"/>
    <w:rsid w:val="00C07CE4"/>
    <w:rsid w:val="00C10A26"/>
    <w:rsid w:val="00C117AB"/>
    <w:rsid w:val="00C14030"/>
    <w:rsid w:val="00C152ED"/>
    <w:rsid w:val="00C170B7"/>
    <w:rsid w:val="00C22DDA"/>
    <w:rsid w:val="00C24611"/>
    <w:rsid w:val="00C24D54"/>
    <w:rsid w:val="00C25A55"/>
    <w:rsid w:val="00C34E64"/>
    <w:rsid w:val="00C37C0C"/>
    <w:rsid w:val="00C40217"/>
    <w:rsid w:val="00C40421"/>
    <w:rsid w:val="00C437D8"/>
    <w:rsid w:val="00C439A0"/>
    <w:rsid w:val="00C43E7C"/>
    <w:rsid w:val="00C455BA"/>
    <w:rsid w:val="00C46BA2"/>
    <w:rsid w:val="00C51A8B"/>
    <w:rsid w:val="00C54C66"/>
    <w:rsid w:val="00C60D6E"/>
    <w:rsid w:val="00C652FF"/>
    <w:rsid w:val="00C660A3"/>
    <w:rsid w:val="00C66C2C"/>
    <w:rsid w:val="00C70B3D"/>
    <w:rsid w:val="00C713BF"/>
    <w:rsid w:val="00C73060"/>
    <w:rsid w:val="00C73407"/>
    <w:rsid w:val="00C75B14"/>
    <w:rsid w:val="00C762E3"/>
    <w:rsid w:val="00C801B5"/>
    <w:rsid w:val="00C81C7A"/>
    <w:rsid w:val="00C879C4"/>
    <w:rsid w:val="00C90A43"/>
    <w:rsid w:val="00C92FEB"/>
    <w:rsid w:val="00C9558E"/>
    <w:rsid w:val="00C9571D"/>
    <w:rsid w:val="00C958E8"/>
    <w:rsid w:val="00C96570"/>
    <w:rsid w:val="00C96FA0"/>
    <w:rsid w:val="00CA2435"/>
    <w:rsid w:val="00CA67A3"/>
    <w:rsid w:val="00CA6F6C"/>
    <w:rsid w:val="00CB51C5"/>
    <w:rsid w:val="00CB52B2"/>
    <w:rsid w:val="00CB66EA"/>
    <w:rsid w:val="00CB6F3D"/>
    <w:rsid w:val="00CC0180"/>
    <w:rsid w:val="00CC0CAE"/>
    <w:rsid w:val="00CC2D41"/>
    <w:rsid w:val="00CC3057"/>
    <w:rsid w:val="00CC383E"/>
    <w:rsid w:val="00CC7197"/>
    <w:rsid w:val="00CC73B9"/>
    <w:rsid w:val="00CD10D9"/>
    <w:rsid w:val="00CD1815"/>
    <w:rsid w:val="00CD2CCD"/>
    <w:rsid w:val="00CD3168"/>
    <w:rsid w:val="00CD35E9"/>
    <w:rsid w:val="00CD42BB"/>
    <w:rsid w:val="00CD73F1"/>
    <w:rsid w:val="00CD7922"/>
    <w:rsid w:val="00CE34D5"/>
    <w:rsid w:val="00CE41FE"/>
    <w:rsid w:val="00CE4391"/>
    <w:rsid w:val="00CE43B5"/>
    <w:rsid w:val="00CE78DD"/>
    <w:rsid w:val="00CE7BC5"/>
    <w:rsid w:val="00D00434"/>
    <w:rsid w:val="00D011EC"/>
    <w:rsid w:val="00D01512"/>
    <w:rsid w:val="00D056BE"/>
    <w:rsid w:val="00D06E40"/>
    <w:rsid w:val="00D06EC8"/>
    <w:rsid w:val="00D0703F"/>
    <w:rsid w:val="00D077DA"/>
    <w:rsid w:val="00D1073F"/>
    <w:rsid w:val="00D11188"/>
    <w:rsid w:val="00D1517B"/>
    <w:rsid w:val="00D15D66"/>
    <w:rsid w:val="00D20072"/>
    <w:rsid w:val="00D2509A"/>
    <w:rsid w:val="00D25696"/>
    <w:rsid w:val="00D26C01"/>
    <w:rsid w:val="00D27940"/>
    <w:rsid w:val="00D31D2C"/>
    <w:rsid w:val="00D37211"/>
    <w:rsid w:val="00D40391"/>
    <w:rsid w:val="00D41A9A"/>
    <w:rsid w:val="00D4588B"/>
    <w:rsid w:val="00D45F6A"/>
    <w:rsid w:val="00D46017"/>
    <w:rsid w:val="00D4603A"/>
    <w:rsid w:val="00D50592"/>
    <w:rsid w:val="00D508CE"/>
    <w:rsid w:val="00D56A96"/>
    <w:rsid w:val="00D57E92"/>
    <w:rsid w:val="00D600C6"/>
    <w:rsid w:val="00D60174"/>
    <w:rsid w:val="00D61495"/>
    <w:rsid w:val="00D66B2F"/>
    <w:rsid w:val="00D67C09"/>
    <w:rsid w:val="00D710E1"/>
    <w:rsid w:val="00D71443"/>
    <w:rsid w:val="00D72107"/>
    <w:rsid w:val="00D752A5"/>
    <w:rsid w:val="00D7563D"/>
    <w:rsid w:val="00D82332"/>
    <w:rsid w:val="00D8611D"/>
    <w:rsid w:val="00D866AC"/>
    <w:rsid w:val="00D91330"/>
    <w:rsid w:val="00D9268A"/>
    <w:rsid w:val="00D9709D"/>
    <w:rsid w:val="00DA2B08"/>
    <w:rsid w:val="00DA2F26"/>
    <w:rsid w:val="00DA3766"/>
    <w:rsid w:val="00DA4C28"/>
    <w:rsid w:val="00DA6835"/>
    <w:rsid w:val="00DA6B12"/>
    <w:rsid w:val="00DA7E7A"/>
    <w:rsid w:val="00DB018C"/>
    <w:rsid w:val="00DB0FAD"/>
    <w:rsid w:val="00DB2CE0"/>
    <w:rsid w:val="00DB36E9"/>
    <w:rsid w:val="00DB3BF1"/>
    <w:rsid w:val="00DB55BC"/>
    <w:rsid w:val="00DC056D"/>
    <w:rsid w:val="00DC0620"/>
    <w:rsid w:val="00DC07D3"/>
    <w:rsid w:val="00DC10F4"/>
    <w:rsid w:val="00DC1BCE"/>
    <w:rsid w:val="00DC2536"/>
    <w:rsid w:val="00DC4A7E"/>
    <w:rsid w:val="00DC7658"/>
    <w:rsid w:val="00DC77B1"/>
    <w:rsid w:val="00DD3132"/>
    <w:rsid w:val="00DD33CF"/>
    <w:rsid w:val="00DD4178"/>
    <w:rsid w:val="00DD6541"/>
    <w:rsid w:val="00DE007A"/>
    <w:rsid w:val="00DE04E2"/>
    <w:rsid w:val="00DE09A7"/>
    <w:rsid w:val="00DE509F"/>
    <w:rsid w:val="00DE706A"/>
    <w:rsid w:val="00DE7AAE"/>
    <w:rsid w:val="00DF01E3"/>
    <w:rsid w:val="00DF032F"/>
    <w:rsid w:val="00DF040E"/>
    <w:rsid w:val="00DF12CC"/>
    <w:rsid w:val="00DF1B14"/>
    <w:rsid w:val="00DF242F"/>
    <w:rsid w:val="00DF4914"/>
    <w:rsid w:val="00DF5E42"/>
    <w:rsid w:val="00DF67C4"/>
    <w:rsid w:val="00DF74AF"/>
    <w:rsid w:val="00E01BF1"/>
    <w:rsid w:val="00E05DB5"/>
    <w:rsid w:val="00E1336E"/>
    <w:rsid w:val="00E139A8"/>
    <w:rsid w:val="00E154FB"/>
    <w:rsid w:val="00E17020"/>
    <w:rsid w:val="00E172E9"/>
    <w:rsid w:val="00E17CD8"/>
    <w:rsid w:val="00E20EE1"/>
    <w:rsid w:val="00E211B0"/>
    <w:rsid w:val="00E22607"/>
    <w:rsid w:val="00E23C92"/>
    <w:rsid w:val="00E23EBF"/>
    <w:rsid w:val="00E244A2"/>
    <w:rsid w:val="00E27380"/>
    <w:rsid w:val="00E3377E"/>
    <w:rsid w:val="00E37AF7"/>
    <w:rsid w:val="00E419FE"/>
    <w:rsid w:val="00E41BE7"/>
    <w:rsid w:val="00E45DA2"/>
    <w:rsid w:val="00E5344C"/>
    <w:rsid w:val="00E540A2"/>
    <w:rsid w:val="00E54A15"/>
    <w:rsid w:val="00E57728"/>
    <w:rsid w:val="00E633BC"/>
    <w:rsid w:val="00E63ADB"/>
    <w:rsid w:val="00E645DE"/>
    <w:rsid w:val="00E67AA7"/>
    <w:rsid w:val="00E72BD9"/>
    <w:rsid w:val="00E730E6"/>
    <w:rsid w:val="00E745CB"/>
    <w:rsid w:val="00E745DB"/>
    <w:rsid w:val="00E813D3"/>
    <w:rsid w:val="00E8211C"/>
    <w:rsid w:val="00E83AC5"/>
    <w:rsid w:val="00E84864"/>
    <w:rsid w:val="00E86D85"/>
    <w:rsid w:val="00E86FAF"/>
    <w:rsid w:val="00E87748"/>
    <w:rsid w:val="00E94D66"/>
    <w:rsid w:val="00E969AF"/>
    <w:rsid w:val="00E977AD"/>
    <w:rsid w:val="00E97D2A"/>
    <w:rsid w:val="00EA0E70"/>
    <w:rsid w:val="00EA1095"/>
    <w:rsid w:val="00EA1AE1"/>
    <w:rsid w:val="00EA4B87"/>
    <w:rsid w:val="00EA5A64"/>
    <w:rsid w:val="00EB1364"/>
    <w:rsid w:val="00EB14E7"/>
    <w:rsid w:val="00EB26C5"/>
    <w:rsid w:val="00EB61B8"/>
    <w:rsid w:val="00EC058F"/>
    <w:rsid w:val="00EC06E0"/>
    <w:rsid w:val="00EC2D3D"/>
    <w:rsid w:val="00EC32B7"/>
    <w:rsid w:val="00EC3805"/>
    <w:rsid w:val="00EC6943"/>
    <w:rsid w:val="00EC6B9D"/>
    <w:rsid w:val="00ED287B"/>
    <w:rsid w:val="00ED2A6D"/>
    <w:rsid w:val="00ED4B96"/>
    <w:rsid w:val="00ED6AE4"/>
    <w:rsid w:val="00ED6E90"/>
    <w:rsid w:val="00EE085E"/>
    <w:rsid w:val="00EE5841"/>
    <w:rsid w:val="00EE7851"/>
    <w:rsid w:val="00EF3FB6"/>
    <w:rsid w:val="00EF5B65"/>
    <w:rsid w:val="00EF6216"/>
    <w:rsid w:val="00F00820"/>
    <w:rsid w:val="00F0382B"/>
    <w:rsid w:val="00F03F83"/>
    <w:rsid w:val="00F06155"/>
    <w:rsid w:val="00F13533"/>
    <w:rsid w:val="00F173A6"/>
    <w:rsid w:val="00F22972"/>
    <w:rsid w:val="00F2456D"/>
    <w:rsid w:val="00F265CC"/>
    <w:rsid w:val="00F27035"/>
    <w:rsid w:val="00F327BD"/>
    <w:rsid w:val="00F34F96"/>
    <w:rsid w:val="00F3520D"/>
    <w:rsid w:val="00F356D9"/>
    <w:rsid w:val="00F51D4A"/>
    <w:rsid w:val="00F537D7"/>
    <w:rsid w:val="00F56182"/>
    <w:rsid w:val="00F56979"/>
    <w:rsid w:val="00F67AAA"/>
    <w:rsid w:val="00F703CD"/>
    <w:rsid w:val="00F749CF"/>
    <w:rsid w:val="00F75D88"/>
    <w:rsid w:val="00F7706A"/>
    <w:rsid w:val="00F80AE3"/>
    <w:rsid w:val="00F80AEC"/>
    <w:rsid w:val="00F810F7"/>
    <w:rsid w:val="00F81A69"/>
    <w:rsid w:val="00F83E28"/>
    <w:rsid w:val="00F84920"/>
    <w:rsid w:val="00F85AB5"/>
    <w:rsid w:val="00F91605"/>
    <w:rsid w:val="00F92ACB"/>
    <w:rsid w:val="00F93BC2"/>
    <w:rsid w:val="00F9471D"/>
    <w:rsid w:val="00F967FF"/>
    <w:rsid w:val="00F975A6"/>
    <w:rsid w:val="00FA1ACD"/>
    <w:rsid w:val="00FA20A3"/>
    <w:rsid w:val="00FB0F5C"/>
    <w:rsid w:val="00FB1142"/>
    <w:rsid w:val="00FB44FB"/>
    <w:rsid w:val="00FB4A60"/>
    <w:rsid w:val="00FB4FDF"/>
    <w:rsid w:val="00FC5719"/>
    <w:rsid w:val="00FC7F23"/>
    <w:rsid w:val="00FD0176"/>
    <w:rsid w:val="00FD2167"/>
    <w:rsid w:val="00FD22B4"/>
    <w:rsid w:val="00FD5588"/>
    <w:rsid w:val="00FD5C5F"/>
    <w:rsid w:val="00FD6CC0"/>
    <w:rsid w:val="00FE06D5"/>
    <w:rsid w:val="00FE1875"/>
    <w:rsid w:val="00FE247E"/>
    <w:rsid w:val="00FE44E7"/>
    <w:rsid w:val="00FE6AD8"/>
    <w:rsid w:val="00FE7FF0"/>
    <w:rsid w:val="00FF0558"/>
    <w:rsid w:val="00FF1E62"/>
    <w:rsid w:val="00FF21B5"/>
    <w:rsid w:val="00FF55B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D3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F25"/>
    <w:rPr>
      <w:lang w:val="en-GB"/>
    </w:rPr>
  </w:style>
  <w:style w:type="paragraph" w:styleId="Heading1">
    <w:name w:val="heading 1"/>
    <w:basedOn w:val="Normal"/>
    <w:link w:val="Heading1Char"/>
    <w:uiPriority w:val="9"/>
    <w:qFormat/>
    <w:rsid w:val="005B2954"/>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paragraph" w:styleId="Heading2">
    <w:name w:val="heading 2"/>
    <w:basedOn w:val="Normal"/>
    <w:next w:val="Normal"/>
    <w:link w:val="Heading2Char"/>
    <w:uiPriority w:val="9"/>
    <w:semiHidden/>
    <w:unhideWhenUsed/>
    <w:qFormat/>
    <w:rsid w:val="003C01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F2F"/>
    <w:pPr>
      <w:ind w:left="720"/>
      <w:contextualSpacing/>
    </w:pPr>
  </w:style>
  <w:style w:type="paragraph" w:styleId="FootnoteText">
    <w:name w:val="footnote text"/>
    <w:basedOn w:val="Normal"/>
    <w:link w:val="FootnoteTextChar"/>
    <w:uiPriority w:val="99"/>
    <w:semiHidden/>
    <w:unhideWhenUsed/>
    <w:rsid w:val="00CC01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0180"/>
    <w:rPr>
      <w:sz w:val="20"/>
      <w:szCs w:val="20"/>
      <w:lang w:val="en-GB"/>
    </w:rPr>
  </w:style>
  <w:style w:type="character" w:styleId="FootnoteReference">
    <w:name w:val="footnote reference"/>
    <w:basedOn w:val="DefaultParagraphFont"/>
    <w:uiPriority w:val="99"/>
    <w:semiHidden/>
    <w:unhideWhenUsed/>
    <w:rsid w:val="00CC0180"/>
    <w:rPr>
      <w:vertAlign w:val="superscript"/>
    </w:rPr>
  </w:style>
  <w:style w:type="character" w:customStyle="1" w:styleId="st">
    <w:name w:val="st"/>
    <w:basedOn w:val="DefaultParagraphFont"/>
    <w:rsid w:val="000A4DC2"/>
  </w:style>
  <w:style w:type="character" w:styleId="Emphasis">
    <w:name w:val="Emphasis"/>
    <w:basedOn w:val="DefaultParagraphFont"/>
    <w:uiPriority w:val="20"/>
    <w:qFormat/>
    <w:rsid w:val="000A4DC2"/>
    <w:rPr>
      <w:i/>
      <w:iCs/>
    </w:rPr>
  </w:style>
  <w:style w:type="character" w:styleId="Hyperlink">
    <w:name w:val="Hyperlink"/>
    <w:basedOn w:val="DefaultParagraphFont"/>
    <w:uiPriority w:val="99"/>
    <w:unhideWhenUsed/>
    <w:rsid w:val="003860F0"/>
    <w:rPr>
      <w:color w:val="0563C1" w:themeColor="hyperlink"/>
      <w:u w:val="single"/>
    </w:rPr>
  </w:style>
  <w:style w:type="paragraph" w:styleId="NormalWeb">
    <w:name w:val="Normal (Web)"/>
    <w:basedOn w:val="Normal"/>
    <w:uiPriority w:val="99"/>
    <w:unhideWhenUsed/>
    <w:rsid w:val="003860F0"/>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hit">
    <w:name w:val="hit"/>
    <w:basedOn w:val="DefaultParagraphFont"/>
    <w:rsid w:val="00A10C76"/>
  </w:style>
  <w:style w:type="character" w:styleId="FollowedHyperlink">
    <w:name w:val="FollowedHyperlink"/>
    <w:basedOn w:val="DefaultParagraphFont"/>
    <w:uiPriority w:val="99"/>
    <w:semiHidden/>
    <w:unhideWhenUsed/>
    <w:rsid w:val="008D1E03"/>
    <w:rPr>
      <w:color w:val="954F72" w:themeColor="followedHyperlink"/>
      <w:u w:val="single"/>
    </w:rPr>
  </w:style>
  <w:style w:type="character" w:customStyle="1" w:styleId="searchword">
    <w:name w:val="searchword"/>
    <w:basedOn w:val="DefaultParagraphFont"/>
    <w:rsid w:val="001B60FE"/>
  </w:style>
  <w:style w:type="character" w:customStyle="1" w:styleId="Heading1Char">
    <w:name w:val="Heading 1 Char"/>
    <w:basedOn w:val="DefaultParagraphFont"/>
    <w:link w:val="Heading1"/>
    <w:uiPriority w:val="9"/>
    <w:rsid w:val="005B2954"/>
    <w:rPr>
      <w:rFonts w:ascii="Times New Roman" w:eastAsia="Times New Roman" w:hAnsi="Times New Roman" w:cs="Times New Roman"/>
      <w:b/>
      <w:bCs/>
      <w:kern w:val="36"/>
      <w:sz w:val="48"/>
      <w:szCs w:val="48"/>
      <w:lang w:eastAsia="it-IT"/>
    </w:rPr>
  </w:style>
  <w:style w:type="paragraph" w:styleId="Header">
    <w:name w:val="header"/>
    <w:basedOn w:val="Normal"/>
    <w:link w:val="HeaderChar"/>
    <w:uiPriority w:val="99"/>
    <w:unhideWhenUsed/>
    <w:rsid w:val="00AB1078"/>
    <w:pPr>
      <w:tabs>
        <w:tab w:val="center" w:pos="4819"/>
        <w:tab w:val="right" w:pos="9638"/>
      </w:tabs>
      <w:spacing w:after="0" w:line="240" w:lineRule="auto"/>
    </w:pPr>
  </w:style>
  <w:style w:type="character" w:customStyle="1" w:styleId="HeaderChar">
    <w:name w:val="Header Char"/>
    <w:basedOn w:val="DefaultParagraphFont"/>
    <w:link w:val="Header"/>
    <w:uiPriority w:val="99"/>
    <w:rsid w:val="00AB1078"/>
    <w:rPr>
      <w:lang w:val="en-GB"/>
    </w:rPr>
  </w:style>
  <w:style w:type="paragraph" w:styleId="Footer">
    <w:name w:val="footer"/>
    <w:basedOn w:val="Normal"/>
    <w:link w:val="FooterChar"/>
    <w:uiPriority w:val="99"/>
    <w:unhideWhenUsed/>
    <w:rsid w:val="00AB1078"/>
    <w:pPr>
      <w:tabs>
        <w:tab w:val="center" w:pos="4819"/>
        <w:tab w:val="right" w:pos="9638"/>
      </w:tabs>
      <w:spacing w:after="0" w:line="240" w:lineRule="auto"/>
    </w:pPr>
  </w:style>
  <w:style w:type="character" w:customStyle="1" w:styleId="FooterChar">
    <w:name w:val="Footer Char"/>
    <w:basedOn w:val="DefaultParagraphFont"/>
    <w:link w:val="Footer"/>
    <w:uiPriority w:val="99"/>
    <w:rsid w:val="00AB1078"/>
    <w:rPr>
      <w:lang w:val="en-GB"/>
    </w:rPr>
  </w:style>
  <w:style w:type="character" w:customStyle="1" w:styleId="Heading2Char">
    <w:name w:val="Heading 2 Char"/>
    <w:basedOn w:val="DefaultParagraphFont"/>
    <w:link w:val="Heading2"/>
    <w:uiPriority w:val="9"/>
    <w:semiHidden/>
    <w:rsid w:val="003C01AA"/>
    <w:rPr>
      <w:rFonts w:asciiTheme="majorHAnsi" w:eastAsiaTheme="majorEastAsia" w:hAnsiTheme="majorHAnsi" w:cstheme="majorBidi"/>
      <w:color w:val="2E74B5" w:themeColor="accent1" w:themeShade="BF"/>
      <w:sz w:val="26"/>
      <w:szCs w:val="26"/>
      <w:lang w:val="en-GB"/>
    </w:rPr>
  </w:style>
  <w:style w:type="table" w:styleId="TableGrid">
    <w:name w:val="Table Grid"/>
    <w:basedOn w:val="TableNormal"/>
    <w:uiPriority w:val="39"/>
    <w:rsid w:val="00BC6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2F789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F25"/>
    <w:rPr>
      <w:lang w:val="en-GB"/>
    </w:rPr>
  </w:style>
  <w:style w:type="paragraph" w:styleId="Heading1">
    <w:name w:val="heading 1"/>
    <w:basedOn w:val="Normal"/>
    <w:link w:val="Heading1Char"/>
    <w:uiPriority w:val="9"/>
    <w:qFormat/>
    <w:rsid w:val="005B2954"/>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paragraph" w:styleId="Heading2">
    <w:name w:val="heading 2"/>
    <w:basedOn w:val="Normal"/>
    <w:next w:val="Normal"/>
    <w:link w:val="Heading2Char"/>
    <w:uiPriority w:val="9"/>
    <w:semiHidden/>
    <w:unhideWhenUsed/>
    <w:qFormat/>
    <w:rsid w:val="003C01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F2F"/>
    <w:pPr>
      <w:ind w:left="720"/>
      <w:contextualSpacing/>
    </w:pPr>
  </w:style>
  <w:style w:type="paragraph" w:styleId="FootnoteText">
    <w:name w:val="footnote text"/>
    <w:basedOn w:val="Normal"/>
    <w:link w:val="FootnoteTextChar"/>
    <w:uiPriority w:val="99"/>
    <w:semiHidden/>
    <w:unhideWhenUsed/>
    <w:rsid w:val="00CC01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0180"/>
    <w:rPr>
      <w:sz w:val="20"/>
      <w:szCs w:val="20"/>
      <w:lang w:val="en-GB"/>
    </w:rPr>
  </w:style>
  <w:style w:type="character" w:styleId="FootnoteReference">
    <w:name w:val="footnote reference"/>
    <w:basedOn w:val="DefaultParagraphFont"/>
    <w:uiPriority w:val="99"/>
    <w:semiHidden/>
    <w:unhideWhenUsed/>
    <w:rsid w:val="00CC0180"/>
    <w:rPr>
      <w:vertAlign w:val="superscript"/>
    </w:rPr>
  </w:style>
  <w:style w:type="character" w:customStyle="1" w:styleId="st">
    <w:name w:val="st"/>
    <w:basedOn w:val="DefaultParagraphFont"/>
    <w:rsid w:val="000A4DC2"/>
  </w:style>
  <w:style w:type="character" w:styleId="Emphasis">
    <w:name w:val="Emphasis"/>
    <w:basedOn w:val="DefaultParagraphFont"/>
    <w:uiPriority w:val="20"/>
    <w:qFormat/>
    <w:rsid w:val="000A4DC2"/>
    <w:rPr>
      <w:i/>
      <w:iCs/>
    </w:rPr>
  </w:style>
  <w:style w:type="character" w:styleId="Hyperlink">
    <w:name w:val="Hyperlink"/>
    <w:basedOn w:val="DefaultParagraphFont"/>
    <w:uiPriority w:val="99"/>
    <w:unhideWhenUsed/>
    <w:rsid w:val="003860F0"/>
    <w:rPr>
      <w:color w:val="0563C1" w:themeColor="hyperlink"/>
      <w:u w:val="single"/>
    </w:rPr>
  </w:style>
  <w:style w:type="paragraph" w:styleId="NormalWeb">
    <w:name w:val="Normal (Web)"/>
    <w:basedOn w:val="Normal"/>
    <w:uiPriority w:val="99"/>
    <w:unhideWhenUsed/>
    <w:rsid w:val="003860F0"/>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hit">
    <w:name w:val="hit"/>
    <w:basedOn w:val="DefaultParagraphFont"/>
    <w:rsid w:val="00A10C76"/>
  </w:style>
  <w:style w:type="character" w:styleId="FollowedHyperlink">
    <w:name w:val="FollowedHyperlink"/>
    <w:basedOn w:val="DefaultParagraphFont"/>
    <w:uiPriority w:val="99"/>
    <w:semiHidden/>
    <w:unhideWhenUsed/>
    <w:rsid w:val="008D1E03"/>
    <w:rPr>
      <w:color w:val="954F72" w:themeColor="followedHyperlink"/>
      <w:u w:val="single"/>
    </w:rPr>
  </w:style>
  <w:style w:type="character" w:customStyle="1" w:styleId="searchword">
    <w:name w:val="searchword"/>
    <w:basedOn w:val="DefaultParagraphFont"/>
    <w:rsid w:val="001B60FE"/>
  </w:style>
  <w:style w:type="character" w:customStyle="1" w:styleId="Heading1Char">
    <w:name w:val="Heading 1 Char"/>
    <w:basedOn w:val="DefaultParagraphFont"/>
    <w:link w:val="Heading1"/>
    <w:uiPriority w:val="9"/>
    <w:rsid w:val="005B2954"/>
    <w:rPr>
      <w:rFonts w:ascii="Times New Roman" w:eastAsia="Times New Roman" w:hAnsi="Times New Roman" w:cs="Times New Roman"/>
      <w:b/>
      <w:bCs/>
      <w:kern w:val="36"/>
      <w:sz w:val="48"/>
      <w:szCs w:val="48"/>
      <w:lang w:eastAsia="it-IT"/>
    </w:rPr>
  </w:style>
  <w:style w:type="paragraph" w:styleId="Header">
    <w:name w:val="header"/>
    <w:basedOn w:val="Normal"/>
    <w:link w:val="HeaderChar"/>
    <w:uiPriority w:val="99"/>
    <w:unhideWhenUsed/>
    <w:rsid w:val="00AB1078"/>
    <w:pPr>
      <w:tabs>
        <w:tab w:val="center" w:pos="4819"/>
        <w:tab w:val="right" w:pos="9638"/>
      </w:tabs>
      <w:spacing w:after="0" w:line="240" w:lineRule="auto"/>
    </w:pPr>
  </w:style>
  <w:style w:type="character" w:customStyle="1" w:styleId="HeaderChar">
    <w:name w:val="Header Char"/>
    <w:basedOn w:val="DefaultParagraphFont"/>
    <w:link w:val="Header"/>
    <w:uiPriority w:val="99"/>
    <w:rsid w:val="00AB1078"/>
    <w:rPr>
      <w:lang w:val="en-GB"/>
    </w:rPr>
  </w:style>
  <w:style w:type="paragraph" w:styleId="Footer">
    <w:name w:val="footer"/>
    <w:basedOn w:val="Normal"/>
    <w:link w:val="FooterChar"/>
    <w:uiPriority w:val="99"/>
    <w:unhideWhenUsed/>
    <w:rsid w:val="00AB1078"/>
    <w:pPr>
      <w:tabs>
        <w:tab w:val="center" w:pos="4819"/>
        <w:tab w:val="right" w:pos="9638"/>
      </w:tabs>
      <w:spacing w:after="0" w:line="240" w:lineRule="auto"/>
    </w:pPr>
  </w:style>
  <w:style w:type="character" w:customStyle="1" w:styleId="FooterChar">
    <w:name w:val="Footer Char"/>
    <w:basedOn w:val="DefaultParagraphFont"/>
    <w:link w:val="Footer"/>
    <w:uiPriority w:val="99"/>
    <w:rsid w:val="00AB1078"/>
    <w:rPr>
      <w:lang w:val="en-GB"/>
    </w:rPr>
  </w:style>
  <w:style w:type="character" w:customStyle="1" w:styleId="Heading2Char">
    <w:name w:val="Heading 2 Char"/>
    <w:basedOn w:val="DefaultParagraphFont"/>
    <w:link w:val="Heading2"/>
    <w:uiPriority w:val="9"/>
    <w:semiHidden/>
    <w:rsid w:val="003C01AA"/>
    <w:rPr>
      <w:rFonts w:asciiTheme="majorHAnsi" w:eastAsiaTheme="majorEastAsia" w:hAnsiTheme="majorHAnsi" w:cstheme="majorBidi"/>
      <w:color w:val="2E74B5" w:themeColor="accent1" w:themeShade="BF"/>
      <w:sz w:val="26"/>
      <w:szCs w:val="26"/>
      <w:lang w:val="en-GB"/>
    </w:rPr>
  </w:style>
  <w:style w:type="table" w:styleId="TableGrid">
    <w:name w:val="Table Grid"/>
    <w:basedOn w:val="TableNormal"/>
    <w:uiPriority w:val="39"/>
    <w:rsid w:val="00BC6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2F789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89545">
      <w:bodyDiv w:val="1"/>
      <w:marLeft w:val="0"/>
      <w:marRight w:val="0"/>
      <w:marTop w:val="0"/>
      <w:marBottom w:val="0"/>
      <w:divBdr>
        <w:top w:val="none" w:sz="0" w:space="0" w:color="auto"/>
        <w:left w:val="none" w:sz="0" w:space="0" w:color="auto"/>
        <w:bottom w:val="none" w:sz="0" w:space="0" w:color="auto"/>
        <w:right w:val="none" w:sz="0" w:space="0" w:color="auto"/>
      </w:divBdr>
    </w:div>
    <w:div w:id="1051731443">
      <w:bodyDiv w:val="1"/>
      <w:marLeft w:val="0"/>
      <w:marRight w:val="0"/>
      <w:marTop w:val="0"/>
      <w:marBottom w:val="0"/>
      <w:divBdr>
        <w:top w:val="none" w:sz="0" w:space="0" w:color="auto"/>
        <w:left w:val="none" w:sz="0" w:space="0" w:color="auto"/>
        <w:bottom w:val="none" w:sz="0" w:space="0" w:color="auto"/>
        <w:right w:val="none" w:sz="0" w:space="0" w:color="auto"/>
      </w:divBdr>
      <w:divsChild>
        <w:div w:id="1781488424">
          <w:marLeft w:val="0"/>
          <w:marRight w:val="0"/>
          <w:marTop w:val="0"/>
          <w:marBottom w:val="0"/>
          <w:divBdr>
            <w:top w:val="none" w:sz="0" w:space="0" w:color="auto"/>
            <w:left w:val="none" w:sz="0" w:space="0" w:color="auto"/>
            <w:bottom w:val="none" w:sz="0" w:space="0" w:color="auto"/>
            <w:right w:val="none" w:sz="0" w:space="0" w:color="auto"/>
          </w:divBdr>
        </w:div>
        <w:div w:id="902519454">
          <w:marLeft w:val="0"/>
          <w:marRight w:val="0"/>
          <w:marTop w:val="0"/>
          <w:marBottom w:val="0"/>
          <w:divBdr>
            <w:top w:val="none" w:sz="0" w:space="0" w:color="auto"/>
            <w:left w:val="none" w:sz="0" w:space="0" w:color="auto"/>
            <w:bottom w:val="none" w:sz="0" w:space="0" w:color="auto"/>
            <w:right w:val="none" w:sz="0" w:space="0" w:color="auto"/>
          </w:divBdr>
        </w:div>
        <w:div w:id="196432239">
          <w:marLeft w:val="0"/>
          <w:marRight w:val="0"/>
          <w:marTop w:val="0"/>
          <w:marBottom w:val="0"/>
          <w:divBdr>
            <w:top w:val="none" w:sz="0" w:space="0" w:color="auto"/>
            <w:left w:val="none" w:sz="0" w:space="0" w:color="auto"/>
            <w:bottom w:val="none" w:sz="0" w:space="0" w:color="auto"/>
            <w:right w:val="none" w:sz="0" w:space="0" w:color="auto"/>
          </w:divBdr>
        </w:div>
        <w:div w:id="615986755">
          <w:marLeft w:val="0"/>
          <w:marRight w:val="0"/>
          <w:marTop w:val="0"/>
          <w:marBottom w:val="0"/>
          <w:divBdr>
            <w:top w:val="none" w:sz="0" w:space="0" w:color="auto"/>
            <w:left w:val="none" w:sz="0" w:space="0" w:color="auto"/>
            <w:bottom w:val="none" w:sz="0" w:space="0" w:color="auto"/>
            <w:right w:val="none" w:sz="0" w:space="0" w:color="auto"/>
          </w:divBdr>
        </w:div>
      </w:divsChild>
    </w:div>
    <w:div w:id="1610233045">
      <w:bodyDiv w:val="1"/>
      <w:marLeft w:val="0"/>
      <w:marRight w:val="0"/>
      <w:marTop w:val="0"/>
      <w:marBottom w:val="0"/>
      <w:divBdr>
        <w:top w:val="none" w:sz="0" w:space="0" w:color="auto"/>
        <w:left w:val="none" w:sz="0" w:space="0" w:color="auto"/>
        <w:bottom w:val="none" w:sz="0" w:space="0" w:color="auto"/>
        <w:right w:val="none" w:sz="0" w:space="0" w:color="auto"/>
      </w:divBdr>
      <w:divsChild>
        <w:div w:id="1433550088">
          <w:marLeft w:val="0"/>
          <w:marRight w:val="0"/>
          <w:marTop w:val="0"/>
          <w:marBottom w:val="0"/>
          <w:divBdr>
            <w:top w:val="none" w:sz="0" w:space="0" w:color="auto"/>
            <w:left w:val="none" w:sz="0" w:space="0" w:color="auto"/>
            <w:bottom w:val="none" w:sz="0" w:space="0" w:color="auto"/>
            <w:right w:val="none" w:sz="0" w:space="0" w:color="auto"/>
          </w:divBdr>
        </w:div>
        <w:div w:id="1929926812">
          <w:marLeft w:val="0"/>
          <w:marRight w:val="0"/>
          <w:marTop w:val="0"/>
          <w:marBottom w:val="0"/>
          <w:divBdr>
            <w:top w:val="none" w:sz="0" w:space="0" w:color="auto"/>
            <w:left w:val="none" w:sz="0" w:space="0" w:color="auto"/>
            <w:bottom w:val="none" w:sz="0" w:space="0" w:color="auto"/>
            <w:right w:val="none" w:sz="0" w:space="0" w:color="auto"/>
          </w:divBdr>
        </w:div>
        <w:div w:id="1825271646">
          <w:marLeft w:val="0"/>
          <w:marRight w:val="0"/>
          <w:marTop w:val="0"/>
          <w:marBottom w:val="0"/>
          <w:divBdr>
            <w:top w:val="none" w:sz="0" w:space="0" w:color="auto"/>
            <w:left w:val="none" w:sz="0" w:space="0" w:color="auto"/>
            <w:bottom w:val="none" w:sz="0" w:space="0" w:color="auto"/>
            <w:right w:val="none" w:sz="0" w:space="0" w:color="auto"/>
          </w:divBdr>
        </w:div>
        <w:div w:id="568075507">
          <w:marLeft w:val="0"/>
          <w:marRight w:val="0"/>
          <w:marTop w:val="0"/>
          <w:marBottom w:val="0"/>
          <w:divBdr>
            <w:top w:val="none" w:sz="0" w:space="0" w:color="auto"/>
            <w:left w:val="none" w:sz="0" w:space="0" w:color="auto"/>
            <w:bottom w:val="none" w:sz="0" w:space="0" w:color="auto"/>
            <w:right w:val="none" w:sz="0" w:space="0" w:color="auto"/>
          </w:divBdr>
        </w:div>
        <w:div w:id="545222923">
          <w:marLeft w:val="0"/>
          <w:marRight w:val="0"/>
          <w:marTop w:val="0"/>
          <w:marBottom w:val="0"/>
          <w:divBdr>
            <w:top w:val="none" w:sz="0" w:space="0" w:color="auto"/>
            <w:left w:val="none" w:sz="0" w:space="0" w:color="auto"/>
            <w:bottom w:val="none" w:sz="0" w:space="0" w:color="auto"/>
            <w:right w:val="none" w:sz="0" w:space="0" w:color="auto"/>
          </w:divBdr>
        </w:div>
        <w:div w:id="1613978741">
          <w:marLeft w:val="0"/>
          <w:marRight w:val="0"/>
          <w:marTop w:val="0"/>
          <w:marBottom w:val="0"/>
          <w:divBdr>
            <w:top w:val="none" w:sz="0" w:space="0" w:color="auto"/>
            <w:left w:val="none" w:sz="0" w:space="0" w:color="auto"/>
            <w:bottom w:val="none" w:sz="0" w:space="0" w:color="auto"/>
            <w:right w:val="none" w:sz="0" w:space="0" w:color="auto"/>
          </w:divBdr>
        </w:div>
        <w:div w:id="292254499">
          <w:marLeft w:val="0"/>
          <w:marRight w:val="0"/>
          <w:marTop w:val="0"/>
          <w:marBottom w:val="0"/>
          <w:divBdr>
            <w:top w:val="none" w:sz="0" w:space="0" w:color="auto"/>
            <w:left w:val="none" w:sz="0" w:space="0" w:color="auto"/>
            <w:bottom w:val="none" w:sz="0" w:space="0" w:color="auto"/>
            <w:right w:val="none" w:sz="0" w:space="0" w:color="auto"/>
          </w:divBdr>
        </w:div>
        <w:div w:id="806315175">
          <w:marLeft w:val="0"/>
          <w:marRight w:val="0"/>
          <w:marTop w:val="0"/>
          <w:marBottom w:val="0"/>
          <w:divBdr>
            <w:top w:val="none" w:sz="0" w:space="0" w:color="auto"/>
            <w:left w:val="none" w:sz="0" w:space="0" w:color="auto"/>
            <w:bottom w:val="none" w:sz="0" w:space="0" w:color="auto"/>
            <w:right w:val="none" w:sz="0" w:space="0" w:color="auto"/>
          </w:divBdr>
        </w:div>
        <w:div w:id="174733370">
          <w:marLeft w:val="0"/>
          <w:marRight w:val="0"/>
          <w:marTop w:val="0"/>
          <w:marBottom w:val="0"/>
          <w:divBdr>
            <w:top w:val="none" w:sz="0" w:space="0" w:color="auto"/>
            <w:left w:val="none" w:sz="0" w:space="0" w:color="auto"/>
            <w:bottom w:val="none" w:sz="0" w:space="0" w:color="auto"/>
            <w:right w:val="none" w:sz="0" w:space="0" w:color="auto"/>
          </w:divBdr>
        </w:div>
        <w:div w:id="802190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guardian.com/uk/2005/aug/17/race.july7"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hudoc.echr.coe.int/sites/eng/pages/search.aspx?i=001-96585" TargetMode="External"/><Relationship Id="rId10" Type="http://schemas.openxmlformats.org/officeDocument/2006/relationships/hyperlink" Target="http://heinonline.org/HOL/Page?handle=hein.journals/nyls46&amp;div=42&amp;g_sent=1&amp;collection=jour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C09D0-3024-F948-934D-CE7D02B6D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6809</Words>
  <Characters>38814</Characters>
  <Application>Microsoft Macintosh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dc:creator>
  <cp:keywords/>
  <dc:description/>
  <cp:lastModifiedBy>will glynn</cp:lastModifiedBy>
  <cp:revision>2</cp:revision>
  <dcterms:created xsi:type="dcterms:W3CDTF">2015-02-27T20:39:00Z</dcterms:created>
  <dcterms:modified xsi:type="dcterms:W3CDTF">2015-02-27T20:39:00Z</dcterms:modified>
</cp:coreProperties>
</file>