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ECB90" w14:textId="77777777" w:rsidR="007A56D8" w:rsidRPr="008570B1" w:rsidRDefault="007A56D8" w:rsidP="007A56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Helvetica"/>
          <w:sz w:val="28"/>
          <w:szCs w:val="28"/>
        </w:rPr>
      </w:pPr>
      <w:bookmarkStart w:id="0" w:name="_GoBack"/>
      <w:bookmarkEnd w:id="0"/>
      <w:r w:rsidRPr="008570B1">
        <w:rPr>
          <w:rFonts w:ascii="Times" w:hAnsi="Times" w:cs="Helvetica"/>
          <w:sz w:val="28"/>
          <w:szCs w:val="28"/>
        </w:rPr>
        <w:t>Is the mirror principle an accurate description of the registration scheme under the Land Registration Act 2002?</w:t>
      </w:r>
    </w:p>
    <w:p w14:paraId="0D64553E" w14:textId="77777777" w:rsidR="007A56D8" w:rsidRDefault="007A56D8" w:rsidP="007A56D8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24"/>
          <w:szCs w:val="24"/>
        </w:rPr>
      </w:pPr>
    </w:p>
    <w:p w14:paraId="5D26E930" w14:textId="77777777" w:rsidR="007A56D8" w:rsidRDefault="007A56D8" w:rsidP="007A56D8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24"/>
          <w:szCs w:val="24"/>
        </w:rPr>
      </w:pPr>
    </w:p>
    <w:p w14:paraId="38CCC316" w14:textId="77777777" w:rsidR="007A56D8" w:rsidRDefault="007A56D8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</w:p>
    <w:p w14:paraId="47A93B25" w14:textId="77777777" w:rsidR="000F0186" w:rsidRDefault="00F64033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  <w:r w:rsidRPr="00B24740">
        <w:rPr>
          <w:rFonts w:ascii="Times" w:hAnsi="Times" w:cs="Helvetica"/>
          <w:sz w:val="24"/>
          <w:szCs w:val="24"/>
        </w:rPr>
        <w:t>T</w:t>
      </w:r>
      <w:r w:rsidR="009853B8" w:rsidRPr="00B24740">
        <w:rPr>
          <w:rFonts w:ascii="Times" w:hAnsi="Times" w:cs="Helvetica"/>
          <w:sz w:val="24"/>
          <w:szCs w:val="24"/>
        </w:rPr>
        <w:t xml:space="preserve">he </w:t>
      </w:r>
      <w:r w:rsidRPr="00B24740">
        <w:rPr>
          <w:rFonts w:ascii="Times" w:hAnsi="Times" w:cs="Helvetica"/>
          <w:b/>
          <w:sz w:val="24"/>
          <w:szCs w:val="24"/>
          <w:u w:val="single"/>
        </w:rPr>
        <w:t xml:space="preserve">LRA </w:t>
      </w:r>
      <w:r w:rsidR="009853B8" w:rsidRPr="00B24740">
        <w:rPr>
          <w:rFonts w:ascii="Times" w:hAnsi="Times" w:cs="Helvetica"/>
          <w:b/>
          <w:sz w:val="24"/>
          <w:szCs w:val="24"/>
          <w:u w:val="single"/>
        </w:rPr>
        <w:t>1925</w:t>
      </w:r>
      <w:r w:rsidR="00756883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1"/>
      </w:r>
      <w:r w:rsidR="00461D6E">
        <w:rPr>
          <w:rFonts w:ascii="Times" w:hAnsi="Times" w:cs="Helvetica"/>
          <w:sz w:val="24"/>
          <w:szCs w:val="24"/>
        </w:rPr>
        <w:t xml:space="preserve"> </w:t>
      </w:r>
      <w:r w:rsidR="000E00F1" w:rsidRPr="00B24740">
        <w:rPr>
          <w:rFonts w:ascii="Times" w:hAnsi="Times" w:cs="Helvetica"/>
          <w:sz w:val="24"/>
          <w:szCs w:val="24"/>
        </w:rPr>
        <w:t xml:space="preserve">rendered </w:t>
      </w:r>
      <w:r w:rsidRPr="00B24740">
        <w:rPr>
          <w:rFonts w:ascii="Times" w:hAnsi="Times" w:cs="Helvetica"/>
          <w:sz w:val="24"/>
          <w:szCs w:val="24"/>
        </w:rPr>
        <w:t>registration compulsory</w:t>
      </w:r>
      <w:r w:rsidR="00E831A4" w:rsidRPr="00B24740">
        <w:rPr>
          <w:rFonts w:ascii="Times" w:hAnsi="Times" w:cs="Helvetica"/>
          <w:sz w:val="24"/>
          <w:szCs w:val="24"/>
        </w:rPr>
        <w:t>. It</w:t>
      </w:r>
      <w:r w:rsidRPr="00B24740">
        <w:rPr>
          <w:rFonts w:ascii="Times" w:hAnsi="Times" w:cs="Helvetica"/>
          <w:sz w:val="24"/>
          <w:szCs w:val="24"/>
        </w:rPr>
        <w:t xml:space="preserve"> was rep</w:t>
      </w:r>
      <w:r w:rsidR="00840B74" w:rsidRPr="00B24740">
        <w:rPr>
          <w:rFonts w:ascii="Times" w:hAnsi="Times" w:cs="Helvetica"/>
          <w:sz w:val="24"/>
          <w:szCs w:val="24"/>
        </w:rPr>
        <w:t>laced</w:t>
      </w:r>
      <w:r w:rsidRPr="00B24740">
        <w:rPr>
          <w:rFonts w:ascii="Times" w:hAnsi="Times" w:cs="Helvetica"/>
          <w:sz w:val="24"/>
          <w:szCs w:val="24"/>
        </w:rPr>
        <w:t xml:space="preserve"> in its entirety by the </w:t>
      </w:r>
      <w:r w:rsidRPr="00B24740">
        <w:rPr>
          <w:rFonts w:ascii="Times" w:hAnsi="Times" w:cs="Helvetica"/>
          <w:b/>
          <w:sz w:val="24"/>
          <w:szCs w:val="24"/>
          <w:u w:val="single"/>
        </w:rPr>
        <w:t>LRA 2002</w:t>
      </w:r>
      <w:r w:rsidR="00756883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2"/>
      </w:r>
      <w:r w:rsidR="00B24740" w:rsidRPr="00B24740">
        <w:rPr>
          <w:rFonts w:ascii="Times" w:hAnsi="Times" w:cs="Helvetica"/>
          <w:sz w:val="24"/>
          <w:szCs w:val="24"/>
        </w:rPr>
        <w:t xml:space="preserve">, </w:t>
      </w:r>
      <w:r w:rsidR="00756883">
        <w:rPr>
          <w:rFonts w:ascii="Times" w:hAnsi="Times" w:cs="Helvetica"/>
          <w:sz w:val="24"/>
          <w:szCs w:val="24"/>
        </w:rPr>
        <w:t>which aim</w:t>
      </w:r>
      <w:r w:rsidR="00756883" w:rsidRPr="00A369EE">
        <w:rPr>
          <w:rFonts w:ascii="Times" w:hAnsi="Times" w:cs="Helvetica"/>
          <w:sz w:val="24"/>
          <w:szCs w:val="24"/>
        </w:rPr>
        <w:t>ed</w:t>
      </w:r>
      <w:r w:rsidR="00E831A4" w:rsidRPr="00B24740">
        <w:rPr>
          <w:rFonts w:ascii="Times" w:hAnsi="Times" w:cs="Helvetica"/>
          <w:sz w:val="24"/>
          <w:szCs w:val="24"/>
        </w:rPr>
        <w:t xml:space="preserve"> to</w:t>
      </w:r>
      <w:r w:rsidRPr="00B24740">
        <w:rPr>
          <w:rFonts w:ascii="Times" w:hAnsi="Times" w:cs="Helvetica"/>
          <w:sz w:val="24"/>
          <w:szCs w:val="24"/>
        </w:rPr>
        <w:t xml:space="preserve"> </w:t>
      </w:r>
      <w:r w:rsidR="00F14424" w:rsidRPr="00B24740">
        <w:rPr>
          <w:rFonts w:ascii="Times" w:hAnsi="Times" w:cs="Helvetica"/>
          <w:sz w:val="24"/>
          <w:szCs w:val="24"/>
        </w:rPr>
        <w:t>enforce the mirror principle</w:t>
      </w:r>
      <w:r w:rsidR="00F14424" w:rsidRPr="00B24740">
        <w:rPr>
          <w:rStyle w:val="FootnoteReference"/>
          <w:rFonts w:ascii="Times" w:hAnsi="Times" w:cs="Helvetica"/>
          <w:sz w:val="24"/>
          <w:szCs w:val="24"/>
        </w:rPr>
        <w:footnoteReference w:id="3"/>
      </w:r>
      <w:r w:rsidR="00E831A4" w:rsidRPr="00B24740">
        <w:rPr>
          <w:rFonts w:ascii="Times" w:hAnsi="Times" w:cs="Helvetica"/>
          <w:sz w:val="24"/>
          <w:szCs w:val="24"/>
        </w:rPr>
        <w:t xml:space="preserve">, namely the idea </w:t>
      </w:r>
      <w:r w:rsidR="00F14424" w:rsidRPr="00B24740">
        <w:rPr>
          <w:rFonts w:ascii="Times" w:hAnsi="Times" w:cs="Helvetica"/>
          <w:sz w:val="24"/>
          <w:szCs w:val="24"/>
        </w:rPr>
        <w:t>that</w:t>
      </w:r>
      <w:r w:rsidRPr="00B24740">
        <w:rPr>
          <w:rFonts w:ascii="Times" w:hAnsi="Times" w:cs="Helvetica"/>
          <w:sz w:val="24"/>
          <w:szCs w:val="24"/>
        </w:rPr>
        <w:t xml:space="preserve"> </w:t>
      </w:r>
      <w:r w:rsidR="00F14424" w:rsidRPr="00B24740">
        <w:rPr>
          <w:rFonts w:ascii="Times" w:hAnsi="Times" w:cs="Helvetica"/>
          <w:sz w:val="24"/>
          <w:szCs w:val="24"/>
        </w:rPr>
        <w:t>ownership of title</w:t>
      </w:r>
      <w:r w:rsidR="00867298" w:rsidRPr="00B24740">
        <w:rPr>
          <w:rFonts w:ascii="Times" w:hAnsi="Times" w:cs="Helvetica"/>
          <w:sz w:val="24"/>
          <w:szCs w:val="24"/>
        </w:rPr>
        <w:t xml:space="preserve"> should be accurately and conclusively reflected by the register</w:t>
      </w:r>
      <w:r w:rsidR="00F14424" w:rsidRPr="00B24740">
        <w:rPr>
          <w:rStyle w:val="FootnoteReference"/>
          <w:rFonts w:ascii="Times" w:hAnsi="Times" w:cs="Helvetica"/>
          <w:sz w:val="24"/>
          <w:szCs w:val="24"/>
        </w:rPr>
        <w:footnoteReference w:id="4"/>
      </w:r>
      <w:r w:rsidR="00E831A4" w:rsidRPr="00B24740">
        <w:rPr>
          <w:rFonts w:ascii="Times" w:hAnsi="Times" w:cs="Helvetica"/>
          <w:sz w:val="24"/>
          <w:szCs w:val="24"/>
        </w:rPr>
        <w:t xml:space="preserve">. </w:t>
      </w:r>
    </w:p>
    <w:p w14:paraId="2264E502" w14:textId="424ED0FC" w:rsidR="00D2394F" w:rsidRPr="00B24740" w:rsidRDefault="00F14424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  <w:r w:rsidRPr="00B24740">
        <w:rPr>
          <w:rFonts w:ascii="Times" w:hAnsi="Times" w:cs="Helvetica"/>
          <w:sz w:val="24"/>
          <w:szCs w:val="24"/>
        </w:rPr>
        <w:t xml:space="preserve">This essay intends to </w:t>
      </w:r>
      <w:r w:rsidR="003868E6">
        <w:rPr>
          <w:rFonts w:ascii="Times" w:hAnsi="Times" w:cs="Helvetica"/>
          <w:sz w:val="24"/>
          <w:szCs w:val="24"/>
        </w:rPr>
        <w:t>outline and evaluate the</w:t>
      </w:r>
      <w:r w:rsidR="00133B76">
        <w:rPr>
          <w:rFonts w:ascii="Times" w:hAnsi="Times" w:cs="Helvetica"/>
          <w:sz w:val="24"/>
          <w:szCs w:val="24"/>
        </w:rPr>
        <w:t xml:space="preserve"> </w:t>
      </w:r>
      <w:r w:rsidR="00C10745" w:rsidRPr="0095002D">
        <w:rPr>
          <w:rFonts w:ascii="Times" w:hAnsi="Times" w:cs="Helvetica"/>
          <w:b/>
          <w:sz w:val="24"/>
          <w:szCs w:val="24"/>
          <w:u w:val="single"/>
        </w:rPr>
        <w:t>LRA 2002</w:t>
      </w:r>
      <w:r w:rsidR="00756883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5"/>
      </w:r>
      <w:r w:rsidR="00133B76">
        <w:rPr>
          <w:rFonts w:ascii="Times" w:hAnsi="Times" w:cs="Helvetica"/>
          <w:sz w:val="24"/>
          <w:szCs w:val="24"/>
        </w:rPr>
        <w:t xml:space="preserve">; </w:t>
      </w:r>
      <w:r w:rsidR="003868E6">
        <w:rPr>
          <w:rFonts w:ascii="Times" w:hAnsi="Times" w:cs="Helvetica"/>
          <w:sz w:val="24"/>
          <w:szCs w:val="24"/>
        </w:rPr>
        <w:t xml:space="preserve">equally, it seeks to explain the </w:t>
      </w:r>
      <w:r w:rsidR="00EA0CB1">
        <w:rPr>
          <w:rFonts w:ascii="Times" w:hAnsi="Times" w:cs="Helvetica"/>
          <w:sz w:val="24"/>
          <w:szCs w:val="24"/>
        </w:rPr>
        <w:t xml:space="preserve">relationship between the </w:t>
      </w:r>
      <w:r w:rsidR="003868E6">
        <w:rPr>
          <w:rFonts w:ascii="Times" w:hAnsi="Times" w:cs="Helvetica"/>
          <w:sz w:val="24"/>
          <w:szCs w:val="24"/>
        </w:rPr>
        <w:t xml:space="preserve">mirror principle </w:t>
      </w:r>
      <w:r w:rsidR="00EA0CB1">
        <w:rPr>
          <w:rFonts w:ascii="Times" w:hAnsi="Times" w:cs="Helvetica"/>
          <w:sz w:val="24"/>
          <w:szCs w:val="24"/>
        </w:rPr>
        <w:t xml:space="preserve">and </w:t>
      </w:r>
      <w:r w:rsidR="003868E6">
        <w:rPr>
          <w:rFonts w:ascii="Times" w:hAnsi="Times" w:cs="Helvetica"/>
          <w:sz w:val="24"/>
          <w:szCs w:val="24"/>
        </w:rPr>
        <w:t xml:space="preserve">the category of </w:t>
      </w:r>
      <w:r w:rsidR="00C10745" w:rsidRPr="00B24740">
        <w:rPr>
          <w:rFonts w:ascii="Times" w:hAnsi="Times" w:cs="Helvetica"/>
          <w:sz w:val="24"/>
          <w:szCs w:val="24"/>
        </w:rPr>
        <w:t>overriding interests</w:t>
      </w:r>
      <w:r w:rsidR="009F6D98" w:rsidRPr="00B24740">
        <w:rPr>
          <w:rStyle w:val="FootnoteReference"/>
          <w:rFonts w:ascii="Times" w:hAnsi="Times" w:cs="Helvetica"/>
          <w:sz w:val="24"/>
          <w:szCs w:val="24"/>
        </w:rPr>
        <w:footnoteReference w:id="6"/>
      </w:r>
      <w:r w:rsidR="00C10745" w:rsidRPr="00B24740">
        <w:rPr>
          <w:rFonts w:ascii="Times" w:hAnsi="Times" w:cs="Helvetica"/>
          <w:sz w:val="24"/>
          <w:szCs w:val="24"/>
        </w:rPr>
        <w:t xml:space="preserve">. </w:t>
      </w:r>
      <w:r w:rsidR="003868E6">
        <w:rPr>
          <w:rFonts w:ascii="Times" w:hAnsi="Times" w:cs="Helvetica"/>
          <w:sz w:val="24"/>
          <w:szCs w:val="24"/>
        </w:rPr>
        <w:t>Finally</w:t>
      </w:r>
      <w:r w:rsidR="00C10745" w:rsidRPr="00B24740">
        <w:rPr>
          <w:rFonts w:ascii="Times" w:hAnsi="Times" w:cs="Helvetica"/>
          <w:sz w:val="24"/>
          <w:szCs w:val="24"/>
        </w:rPr>
        <w:t xml:space="preserve">, </w:t>
      </w:r>
      <w:r w:rsidR="00EA0CB1">
        <w:rPr>
          <w:rFonts w:ascii="Times" w:hAnsi="Times" w:cs="Helvetica"/>
          <w:sz w:val="24"/>
          <w:szCs w:val="24"/>
        </w:rPr>
        <w:t>it</w:t>
      </w:r>
      <w:r w:rsidR="00C10745" w:rsidRPr="00B24740">
        <w:rPr>
          <w:rFonts w:ascii="Times" w:hAnsi="Times" w:cs="Helvetica"/>
          <w:sz w:val="24"/>
          <w:szCs w:val="24"/>
        </w:rPr>
        <w:t xml:space="preserve"> </w:t>
      </w:r>
      <w:r w:rsidR="003868E6">
        <w:rPr>
          <w:rFonts w:ascii="Times" w:hAnsi="Times" w:cs="Helvetica"/>
          <w:sz w:val="24"/>
          <w:szCs w:val="24"/>
        </w:rPr>
        <w:t>suggests</w:t>
      </w:r>
      <w:r w:rsidR="00C10745" w:rsidRPr="00B24740">
        <w:rPr>
          <w:rFonts w:ascii="Times" w:hAnsi="Times" w:cs="Helvetica"/>
          <w:sz w:val="24"/>
          <w:szCs w:val="24"/>
        </w:rPr>
        <w:t xml:space="preserve"> </w:t>
      </w:r>
      <w:r w:rsidRPr="00B24740">
        <w:rPr>
          <w:rFonts w:ascii="Times" w:hAnsi="Times" w:cs="Helvetica"/>
          <w:sz w:val="24"/>
          <w:szCs w:val="24"/>
        </w:rPr>
        <w:t xml:space="preserve">that the </w:t>
      </w:r>
      <w:r w:rsidRPr="00B24740">
        <w:rPr>
          <w:rFonts w:ascii="Times" w:hAnsi="Times" w:cs="Helvetica"/>
          <w:b/>
          <w:sz w:val="24"/>
          <w:szCs w:val="24"/>
          <w:u w:val="single"/>
        </w:rPr>
        <w:t>2002 Act</w:t>
      </w:r>
      <w:r w:rsidR="00756883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7"/>
      </w:r>
      <w:r w:rsidRPr="00B24740">
        <w:rPr>
          <w:rFonts w:ascii="Times" w:hAnsi="Times" w:cs="Helvetica"/>
          <w:sz w:val="24"/>
          <w:szCs w:val="24"/>
        </w:rPr>
        <w:t xml:space="preserve"> </w:t>
      </w:r>
      <w:r w:rsidR="00AA45AE">
        <w:rPr>
          <w:rFonts w:ascii="Times" w:hAnsi="Times" w:cs="Helvetica"/>
          <w:sz w:val="24"/>
          <w:szCs w:val="24"/>
        </w:rPr>
        <w:t>has</w:t>
      </w:r>
      <w:r w:rsidR="003868E6">
        <w:rPr>
          <w:rFonts w:ascii="Times" w:hAnsi="Times" w:cs="Helvetica"/>
          <w:sz w:val="24"/>
          <w:szCs w:val="24"/>
        </w:rPr>
        <w:t xml:space="preserve"> succeeded</w:t>
      </w:r>
      <w:r w:rsidR="00C10745" w:rsidRPr="00B24740">
        <w:rPr>
          <w:rFonts w:ascii="Times" w:hAnsi="Times" w:cs="Helvetica"/>
          <w:sz w:val="24"/>
          <w:szCs w:val="24"/>
        </w:rPr>
        <w:t xml:space="preserve"> </w:t>
      </w:r>
      <w:r w:rsidR="00EE0EE5">
        <w:rPr>
          <w:rFonts w:ascii="Times" w:hAnsi="Times" w:cs="Helvetica"/>
          <w:sz w:val="24"/>
          <w:szCs w:val="24"/>
        </w:rPr>
        <w:t xml:space="preserve">in enforcing </w:t>
      </w:r>
      <w:r w:rsidR="00C10745" w:rsidRPr="00B24740">
        <w:rPr>
          <w:rFonts w:ascii="Times" w:hAnsi="Times" w:cs="Helvetica"/>
          <w:sz w:val="24"/>
          <w:szCs w:val="24"/>
        </w:rPr>
        <w:t xml:space="preserve">the </w:t>
      </w:r>
      <w:r w:rsidR="00EA0CB1">
        <w:rPr>
          <w:rFonts w:ascii="Times" w:hAnsi="Times" w:cs="Helvetica"/>
          <w:sz w:val="24"/>
          <w:szCs w:val="24"/>
        </w:rPr>
        <w:t>aforementioned</w:t>
      </w:r>
      <w:r w:rsidR="00C10745" w:rsidRPr="00B24740">
        <w:rPr>
          <w:rFonts w:ascii="Times" w:hAnsi="Times" w:cs="Helvetica"/>
          <w:sz w:val="24"/>
          <w:szCs w:val="24"/>
        </w:rPr>
        <w:t xml:space="preserve"> principle.</w:t>
      </w:r>
    </w:p>
    <w:p w14:paraId="13B2322E" w14:textId="77777777" w:rsidR="00E831A4" w:rsidRPr="00B24740" w:rsidRDefault="00E831A4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</w:p>
    <w:p w14:paraId="4E267FAA" w14:textId="26B1C398" w:rsidR="00840B74" w:rsidRPr="00B24740" w:rsidRDefault="000B19D4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  <w:r w:rsidRPr="00B24740">
        <w:rPr>
          <w:rFonts w:ascii="Times" w:hAnsi="Times" w:cs="Helvetica"/>
          <w:sz w:val="24"/>
          <w:szCs w:val="24"/>
        </w:rPr>
        <w:t xml:space="preserve">While the </w:t>
      </w:r>
      <w:r w:rsidRPr="00B24740">
        <w:rPr>
          <w:rFonts w:ascii="Times" w:hAnsi="Times" w:cs="Helvetica"/>
          <w:b/>
          <w:sz w:val="24"/>
          <w:szCs w:val="24"/>
          <w:u w:val="single"/>
        </w:rPr>
        <w:t>1875 Act</w:t>
      </w:r>
      <w:r w:rsidR="007D59A9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8"/>
      </w:r>
      <w:r w:rsidRPr="00B24740">
        <w:rPr>
          <w:rFonts w:ascii="Times" w:hAnsi="Times" w:cs="Helvetica"/>
          <w:sz w:val="24"/>
          <w:szCs w:val="24"/>
        </w:rPr>
        <w:t xml:space="preserve"> was the first to contemplate the ide</w:t>
      </w:r>
      <w:r w:rsidR="007D59A9">
        <w:rPr>
          <w:rFonts w:ascii="Times" w:hAnsi="Times" w:cs="Helvetica"/>
          <w:sz w:val="24"/>
          <w:szCs w:val="24"/>
        </w:rPr>
        <w:t xml:space="preserve">a of a single register </w:t>
      </w:r>
      <w:r w:rsidRPr="00B24740">
        <w:rPr>
          <w:rStyle w:val="FootnoteReference"/>
          <w:rFonts w:ascii="Times" w:hAnsi="Times" w:cs="Helvetica"/>
          <w:sz w:val="24"/>
          <w:szCs w:val="24"/>
        </w:rPr>
        <w:footnoteReference w:id="9"/>
      </w:r>
      <w:r w:rsidRPr="00B24740">
        <w:rPr>
          <w:rFonts w:ascii="Times" w:hAnsi="Times" w:cs="Helvetica"/>
          <w:sz w:val="24"/>
          <w:szCs w:val="24"/>
        </w:rPr>
        <w:t xml:space="preserve">, the </w:t>
      </w:r>
      <w:r w:rsidR="00867298" w:rsidRPr="00B24740">
        <w:rPr>
          <w:rFonts w:ascii="Times" w:hAnsi="Times" w:cs="Helvetica"/>
          <w:b/>
          <w:sz w:val="24"/>
          <w:szCs w:val="24"/>
          <w:u w:val="single"/>
        </w:rPr>
        <w:t>Land Transfer Act 1897</w:t>
      </w:r>
      <w:r w:rsidR="00756883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10"/>
      </w:r>
      <w:r w:rsidR="00867298" w:rsidRPr="00B24740">
        <w:rPr>
          <w:rFonts w:ascii="Times" w:hAnsi="Times" w:cs="Helvetica"/>
          <w:sz w:val="24"/>
          <w:szCs w:val="24"/>
        </w:rPr>
        <w:t xml:space="preserve"> established that compulsory registration should begin in London</w:t>
      </w:r>
      <w:r w:rsidR="00867298" w:rsidRPr="00B24740">
        <w:rPr>
          <w:rStyle w:val="FootnoteReference"/>
          <w:rFonts w:ascii="Times" w:hAnsi="Times" w:cs="Helvetica"/>
          <w:sz w:val="24"/>
          <w:szCs w:val="24"/>
        </w:rPr>
        <w:footnoteReference w:id="11"/>
      </w:r>
      <w:r w:rsidR="00867298" w:rsidRPr="00B24740">
        <w:rPr>
          <w:rFonts w:ascii="Times" w:hAnsi="Times" w:cs="Helvetica"/>
          <w:sz w:val="24"/>
          <w:szCs w:val="24"/>
        </w:rPr>
        <w:t xml:space="preserve">. Equally, the </w:t>
      </w:r>
      <w:r w:rsidRPr="00B24740">
        <w:rPr>
          <w:rFonts w:ascii="Times" w:hAnsi="Times" w:cs="Helvetica"/>
          <w:b/>
          <w:sz w:val="24"/>
          <w:szCs w:val="24"/>
          <w:u w:val="single"/>
        </w:rPr>
        <w:t>1925 Act</w:t>
      </w:r>
      <w:r w:rsidR="00756883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12"/>
      </w:r>
      <w:r w:rsidRPr="00B24740">
        <w:rPr>
          <w:rFonts w:ascii="Times" w:hAnsi="Times" w:cs="Helvetica"/>
          <w:sz w:val="24"/>
          <w:szCs w:val="24"/>
        </w:rPr>
        <w:t xml:space="preserve"> </w:t>
      </w:r>
      <w:r w:rsidR="005116C0" w:rsidRPr="00B24740">
        <w:rPr>
          <w:rFonts w:ascii="Times" w:hAnsi="Times" w:cs="Helvetica"/>
          <w:sz w:val="24"/>
          <w:szCs w:val="24"/>
        </w:rPr>
        <w:t>set out</w:t>
      </w:r>
      <w:r w:rsidRPr="00B24740">
        <w:rPr>
          <w:rFonts w:ascii="Times" w:hAnsi="Times" w:cs="Helvetica"/>
          <w:sz w:val="24"/>
          <w:szCs w:val="24"/>
        </w:rPr>
        <w:t xml:space="preserve"> that </w:t>
      </w:r>
      <w:r w:rsidR="005116C0" w:rsidRPr="00B24740">
        <w:rPr>
          <w:rFonts w:ascii="Times" w:hAnsi="Times" w:cs="Helvetica"/>
          <w:sz w:val="24"/>
          <w:szCs w:val="24"/>
        </w:rPr>
        <w:t>it would be obligatory to register a title if</w:t>
      </w:r>
      <w:r w:rsidRPr="00B24740">
        <w:rPr>
          <w:rFonts w:ascii="Times" w:hAnsi="Times" w:cs="Helvetica"/>
          <w:sz w:val="24"/>
          <w:szCs w:val="24"/>
        </w:rPr>
        <w:t xml:space="preserve"> a triggering event occurred</w:t>
      </w:r>
      <w:r w:rsidR="00612B94" w:rsidRPr="00B24740">
        <w:rPr>
          <w:rFonts w:ascii="Times" w:hAnsi="Times" w:cs="Helvetica"/>
          <w:sz w:val="24"/>
          <w:szCs w:val="24"/>
        </w:rPr>
        <w:t xml:space="preserve">. </w:t>
      </w:r>
      <w:r w:rsidR="00840B74" w:rsidRPr="00B24740">
        <w:rPr>
          <w:rFonts w:ascii="Times" w:hAnsi="Times" w:cs="Helvetica"/>
          <w:sz w:val="24"/>
          <w:szCs w:val="24"/>
        </w:rPr>
        <w:t xml:space="preserve">In repealing the </w:t>
      </w:r>
      <w:r w:rsidR="00840B74" w:rsidRPr="00B24740">
        <w:rPr>
          <w:rFonts w:ascii="Times" w:hAnsi="Times" w:cs="Helvetica"/>
          <w:b/>
          <w:sz w:val="24"/>
          <w:szCs w:val="24"/>
          <w:u w:val="single"/>
        </w:rPr>
        <w:t>1925 Act</w:t>
      </w:r>
      <w:r w:rsidR="00756883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13"/>
      </w:r>
      <w:r w:rsidR="00840B74" w:rsidRPr="00B24740">
        <w:rPr>
          <w:rFonts w:ascii="Times" w:hAnsi="Times" w:cs="Helvetica"/>
          <w:sz w:val="24"/>
          <w:szCs w:val="24"/>
        </w:rPr>
        <w:t xml:space="preserve">, the </w:t>
      </w:r>
      <w:r w:rsidR="00840B74" w:rsidRPr="00B24740">
        <w:rPr>
          <w:rFonts w:ascii="Times" w:hAnsi="Times" w:cs="Helvetica"/>
          <w:b/>
          <w:sz w:val="24"/>
          <w:szCs w:val="24"/>
          <w:u w:val="single"/>
        </w:rPr>
        <w:t>LRA 2002</w:t>
      </w:r>
      <w:r w:rsidR="00756883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14"/>
      </w:r>
      <w:r w:rsidR="00840B74" w:rsidRPr="00B24740">
        <w:rPr>
          <w:rFonts w:ascii="Times" w:hAnsi="Times" w:cs="Helvetica"/>
          <w:sz w:val="24"/>
          <w:szCs w:val="24"/>
        </w:rPr>
        <w:t xml:space="preserve"> has paved the way to </w:t>
      </w:r>
      <w:r w:rsidR="00C13473">
        <w:rPr>
          <w:rFonts w:ascii="Times" w:hAnsi="Times" w:cs="Helvetica"/>
          <w:sz w:val="24"/>
          <w:szCs w:val="24"/>
        </w:rPr>
        <w:t>e-</w:t>
      </w:r>
      <w:r w:rsidR="00840B74" w:rsidRPr="00B24740">
        <w:rPr>
          <w:rFonts w:ascii="Times" w:hAnsi="Times" w:cs="Helvetica"/>
          <w:sz w:val="24"/>
          <w:szCs w:val="24"/>
        </w:rPr>
        <w:t>conveyancing</w:t>
      </w:r>
      <w:r w:rsidR="00756883">
        <w:rPr>
          <w:rStyle w:val="FootnoteReference"/>
          <w:rFonts w:ascii="Times" w:hAnsi="Times" w:cs="Helvetica"/>
          <w:sz w:val="24"/>
          <w:szCs w:val="24"/>
        </w:rPr>
        <w:footnoteReference w:id="15"/>
      </w:r>
      <w:r w:rsidR="00840B74" w:rsidRPr="00B24740">
        <w:rPr>
          <w:rFonts w:ascii="Times" w:hAnsi="Times" w:cs="Helvetica"/>
          <w:sz w:val="24"/>
          <w:szCs w:val="24"/>
        </w:rPr>
        <w:t xml:space="preserve">. </w:t>
      </w:r>
      <w:r w:rsidR="00612B94" w:rsidRPr="00B24740">
        <w:rPr>
          <w:rFonts w:ascii="Times" w:hAnsi="Times" w:cs="Helvetica"/>
          <w:sz w:val="24"/>
          <w:szCs w:val="24"/>
        </w:rPr>
        <w:t>Thus</w:t>
      </w:r>
      <w:r w:rsidR="000E5B2A">
        <w:rPr>
          <w:rFonts w:ascii="Times" w:hAnsi="Times" w:cs="Helvetica"/>
          <w:sz w:val="24"/>
          <w:szCs w:val="24"/>
        </w:rPr>
        <w:t>, some have argued that this</w:t>
      </w:r>
      <w:r w:rsidR="00612B94" w:rsidRPr="00B24740">
        <w:rPr>
          <w:rFonts w:ascii="Times" w:hAnsi="Times" w:cs="Helvetica"/>
          <w:sz w:val="24"/>
          <w:szCs w:val="24"/>
        </w:rPr>
        <w:t xml:space="preserve"> system should be referred to as </w:t>
      </w:r>
      <w:r w:rsidR="00756883" w:rsidRPr="00461D6E">
        <w:rPr>
          <w:rFonts w:ascii="Times" w:hAnsi="Times" w:cs="Helvetica"/>
          <w:sz w:val="24"/>
          <w:szCs w:val="24"/>
        </w:rPr>
        <w:t>one of</w:t>
      </w:r>
      <w:r w:rsidR="00756883">
        <w:rPr>
          <w:rFonts w:ascii="Times" w:hAnsi="Times" w:cs="Helvetica"/>
          <w:sz w:val="24"/>
          <w:szCs w:val="24"/>
        </w:rPr>
        <w:t xml:space="preserve"> </w:t>
      </w:r>
      <w:r w:rsidR="00612B94" w:rsidRPr="00756883">
        <w:rPr>
          <w:rFonts w:ascii="Times" w:hAnsi="Times" w:cs="Helvetica"/>
          <w:i/>
          <w:sz w:val="24"/>
          <w:szCs w:val="24"/>
        </w:rPr>
        <w:t>title by registration</w:t>
      </w:r>
      <w:r w:rsidR="00612B94" w:rsidRPr="00B24740">
        <w:rPr>
          <w:rFonts w:ascii="Times" w:hAnsi="Times" w:cs="Helvetica"/>
          <w:sz w:val="24"/>
          <w:szCs w:val="24"/>
        </w:rPr>
        <w:t xml:space="preserve"> rather than </w:t>
      </w:r>
      <w:r w:rsidR="00840B74" w:rsidRPr="00756883">
        <w:rPr>
          <w:rFonts w:ascii="Times" w:hAnsi="Times" w:cs="Helvetica"/>
          <w:i/>
          <w:sz w:val="24"/>
          <w:szCs w:val="24"/>
        </w:rPr>
        <w:t>registration of title</w:t>
      </w:r>
      <w:r w:rsidR="00756883">
        <w:rPr>
          <w:rStyle w:val="FootnoteReference"/>
          <w:rFonts w:ascii="Times" w:hAnsi="Times" w:cs="Helvetica"/>
          <w:sz w:val="24"/>
          <w:szCs w:val="24"/>
        </w:rPr>
        <w:footnoteReference w:id="16"/>
      </w:r>
      <w:r w:rsidR="00840B74" w:rsidRPr="00B24740">
        <w:rPr>
          <w:rFonts w:ascii="Times" w:hAnsi="Times" w:cs="Helvetica"/>
          <w:sz w:val="24"/>
          <w:szCs w:val="24"/>
        </w:rPr>
        <w:t>. This philosophical shift</w:t>
      </w:r>
      <w:r w:rsidR="0059281D">
        <w:rPr>
          <w:rStyle w:val="FootnoteReference"/>
          <w:rFonts w:ascii="Times" w:hAnsi="Times" w:cs="Helvetica"/>
          <w:sz w:val="24"/>
          <w:szCs w:val="24"/>
        </w:rPr>
        <w:footnoteReference w:id="17"/>
      </w:r>
      <w:r w:rsidR="00840B74" w:rsidRPr="00B24740">
        <w:rPr>
          <w:rFonts w:ascii="Times" w:hAnsi="Times" w:cs="Helvetica"/>
          <w:sz w:val="24"/>
          <w:szCs w:val="24"/>
        </w:rPr>
        <w:t xml:space="preserve"> has alt</w:t>
      </w:r>
      <w:r w:rsidR="000E5B2A">
        <w:rPr>
          <w:rFonts w:ascii="Times" w:hAnsi="Times" w:cs="Helvetica"/>
          <w:sz w:val="24"/>
          <w:szCs w:val="24"/>
        </w:rPr>
        <w:t>ered two types of relationships.</w:t>
      </w:r>
      <w:r w:rsidR="00840B74" w:rsidRPr="00B24740">
        <w:rPr>
          <w:rFonts w:ascii="Times" w:hAnsi="Times" w:cs="Helvetica"/>
          <w:sz w:val="24"/>
          <w:szCs w:val="24"/>
        </w:rPr>
        <w:t xml:space="preserve"> </w:t>
      </w:r>
      <w:r w:rsidR="000E5B2A">
        <w:rPr>
          <w:rFonts w:ascii="Times" w:hAnsi="Times" w:cs="Helvetica"/>
          <w:sz w:val="24"/>
          <w:szCs w:val="24"/>
        </w:rPr>
        <w:t xml:space="preserve">First, </w:t>
      </w:r>
      <w:r w:rsidR="00B1713C" w:rsidRPr="00B24740">
        <w:rPr>
          <w:rFonts w:ascii="Times" w:hAnsi="Times" w:cs="Helvetica"/>
          <w:sz w:val="24"/>
          <w:szCs w:val="24"/>
        </w:rPr>
        <w:t>a ‘physical nexus</w:t>
      </w:r>
      <w:r w:rsidR="00B1713C" w:rsidRPr="00B24740">
        <w:rPr>
          <w:rStyle w:val="FootnoteReference"/>
          <w:rFonts w:ascii="Times" w:hAnsi="Times" w:cs="Helvetica"/>
          <w:sz w:val="24"/>
          <w:szCs w:val="24"/>
        </w:rPr>
        <w:footnoteReference w:id="18"/>
      </w:r>
      <w:r w:rsidR="007D59A9">
        <w:rPr>
          <w:rFonts w:ascii="Times" w:hAnsi="Times" w:cs="Helvetica"/>
          <w:sz w:val="24"/>
          <w:szCs w:val="24"/>
        </w:rPr>
        <w:t>’ between the owner and their</w:t>
      </w:r>
      <w:r w:rsidR="00B1713C" w:rsidRPr="00B24740">
        <w:rPr>
          <w:rFonts w:ascii="Times" w:hAnsi="Times" w:cs="Helvetica"/>
          <w:sz w:val="24"/>
          <w:szCs w:val="24"/>
        </w:rPr>
        <w:t xml:space="preserve"> land is no longer required. </w:t>
      </w:r>
      <w:r w:rsidR="000E5B2A">
        <w:rPr>
          <w:rFonts w:ascii="Times" w:hAnsi="Times" w:cs="Helvetica"/>
          <w:sz w:val="24"/>
          <w:szCs w:val="24"/>
        </w:rPr>
        <w:t xml:space="preserve">Secondly, </w:t>
      </w:r>
      <w:r w:rsidR="00B1713C" w:rsidRPr="00B24740">
        <w:rPr>
          <w:rFonts w:ascii="Times" w:hAnsi="Times" w:cs="Helvetica"/>
          <w:sz w:val="24"/>
          <w:szCs w:val="24"/>
        </w:rPr>
        <w:t>the st</w:t>
      </w:r>
      <w:r w:rsidR="007D59A9">
        <w:rPr>
          <w:rFonts w:ascii="Times" w:hAnsi="Times" w:cs="Helvetica"/>
          <w:sz w:val="24"/>
          <w:szCs w:val="24"/>
        </w:rPr>
        <w:t xml:space="preserve">ate informs the citizen </w:t>
      </w:r>
      <w:r w:rsidR="008B13CD">
        <w:rPr>
          <w:rFonts w:ascii="Times" w:hAnsi="Times" w:cs="Helvetica"/>
          <w:sz w:val="24"/>
          <w:szCs w:val="24"/>
        </w:rPr>
        <w:t>that he owns the land,</w:t>
      </w:r>
      <w:r w:rsidR="007D59A9">
        <w:rPr>
          <w:rFonts w:ascii="Times" w:hAnsi="Times" w:cs="Helvetica"/>
          <w:sz w:val="24"/>
          <w:szCs w:val="24"/>
        </w:rPr>
        <w:t xml:space="preserve"> not vice versa</w:t>
      </w:r>
      <w:r w:rsidR="00B1713C" w:rsidRPr="00B24740">
        <w:rPr>
          <w:rFonts w:ascii="Times" w:hAnsi="Times" w:cs="Helvetica"/>
          <w:sz w:val="24"/>
          <w:szCs w:val="24"/>
        </w:rPr>
        <w:t xml:space="preserve">. </w:t>
      </w:r>
      <w:r w:rsidR="00612B94" w:rsidRPr="00B24740">
        <w:rPr>
          <w:rFonts w:ascii="Times" w:hAnsi="Times" w:cs="Helvetica"/>
          <w:sz w:val="24"/>
          <w:szCs w:val="24"/>
        </w:rPr>
        <w:lastRenderedPageBreak/>
        <w:t xml:space="preserve">Another aim of the </w:t>
      </w:r>
      <w:r w:rsidR="00612B94" w:rsidRPr="0095002D">
        <w:rPr>
          <w:rFonts w:ascii="Times" w:hAnsi="Times" w:cs="Helvetica"/>
          <w:b/>
          <w:sz w:val="24"/>
          <w:szCs w:val="24"/>
          <w:u w:val="single"/>
        </w:rPr>
        <w:t>LRA 2002</w:t>
      </w:r>
      <w:r w:rsidR="00E47989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19"/>
      </w:r>
      <w:r w:rsidR="00D86A42">
        <w:rPr>
          <w:rFonts w:ascii="Times" w:hAnsi="Times" w:cs="Helvetica"/>
          <w:sz w:val="24"/>
          <w:szCs w:val="24"/>
        </w:rPr>
        <w:t xml:space="preserve"> is</w:t>
      </w:r>
      <w:r w:rsidR="00612B94" w:rsidRPr="00B24740">
        <w:rPr>
          <w:rFonts w:ascii="Times" w:hAnsi="Times" w:cs="Helvetica"/>
          <w:sz w:val="24"/>
          <w:szCs w:val="24"/>
        </w:rPr>
        <w:t xml:space="preserve"> to guarantee title, as a result of which the register ought to be treated as conclusive</w:t>
      </w:r>
      <w:r w:rsidR="00616909" w:rsidRPr="00B24740">
        <w:rPr>
          <w:rStyle w:val="FootnoteReference"/>
          <w:rFonts w:ascii="Times" w:hAnsi="Times" w:cs="Helvetica"/>
          <w:sz w:val="24"/>
          <w:szCs w:val="24"/>
        </w:rPr>
        <w:footnoteReference w:id="20"/>
      </w:r>
      <w:r w:rsidR="00612B94" w:rsidRPr="00B24740">
        <w:rPr>
          <w:rFonts w:ascii="Times" w:hAnsi="Times" w:cs="Helvetica"/>
          <w:sz w:val="24"/>
          <w:szCs w:val="24"/>
        </w:rPr>
        <w:t xml:space="preserve">. </w:t>
      </w:r>
      <w:r w:rsidR="008E550C" w:rsidRPr="00B24740">
        <w:rPr>
          <w:rFonts w:ascii="Times" w:hAnsi="Times" w:cs="Helvetica"/>
          <w:sz w:val="24"/>
          <w:szCs w:val="24"/>
        </w:rPr>
        <w:t xml:space="preserve">However, </w:t>
      </w:r>
      <w:r w:rsidR="007A6B6E" w:rsidRPr="00B24740">
        <w:rPr>
          <w:rFonts w:ascii="Times" w:hAnsi="Times"/>
          <w:sz w:val="24"/>
          <w:szCs w:val="24"/>
        </w:rPr>
        <w:t>as Cooke has maintained</w:t>
      </w:r>
      <w:r w:rsidR="00612B94" w:rsidRPr="00B24740">
        <w:rPr>
          <w:rFonts w:ascii="Times" w:hAnsi="Times"/>
          <w:sz w:val="24"/>
          <w:szCs w:val="24"/>
        </w:rPr>
        <w:t xml:space="preserve">, judges still tend to protect sellers </w:t>
      </w:r>
      <w:r w:rsidR="000E5B2A">
        <w:rPr>
          <w:rFonts w:ascii="Times" w:hAnsi="Times"/>
          <w:sz w:val="24"/>
          <w:szCs w:val="24"/>
        </w:rPr>
        <w:t>rather than</w:t>
      </w:r>
      <w:r w:rsidR="00612B94" w:rsidRPr="00B24740">
        <w:rPr>
          <w:rFonts w:ascii="Times" w:hAnsi="Times"/>
          <w:sz w:val="24"/>
          <w:szCs w:val="24"/>
        </w:rPr>
        <w:t xml:space="preserve"> purchasers</w:t>
      </w:r>
      <w:r w:rsidR="006A4649">
        <w:rPr>
          <w:rStyle w:val="FootnoteReference"/>
          <w:rFonts w:ascii="Times" w:hAnsi="Times"/>
          <w:sz w:val="24"/>
          <w:szCs w:val="24"/>
        </w:rPr>
        <w:footnoteReference w:id="21"/>
      </w:r>
      <w:r w:rsidR="000E5B2A">
        <w:rPr>
          <w:rFonts w:ascii="Times" w:hAnsi="Times"/>
          <w:sz w:val="24"/>
          <w:szCs w:val="24"/>
        </w:rPr>
        <w:t>,</w:t>
      </w:r>
      <w:r w:rsidR="00612B94" w:rsidRPr="00B24740">
        <w:rPr>
          <w:rFonts w:ascii="Times" w:hAnsi="Times"/>
          <w:sz w:val="24"/>
          <w:szCs w:val="24"/>
        </w:rPr>
        <w:t xml:space="preserve"> </w:t>
      </w:r>
      <w:r w:rsidR="000E5B2A" w:rsidRPr="00B24740">
        <w:rPr>
          <w:rFonts w:ascii="Times" w:hAnsi="Times" w:cs="Helvetica"/>
          <w:sz w:val="24"/>
          <w:szCs w:val="24"/>
        </w:rPr>
        <w:t>Fitzwilliam</w:t>
      </w:r>
      <w:r w:rsidR="00756883">
        <w:rPr>
          <w:rStyle w:val="FootnoteReference"/>
          <w:rFonts w:ascii="Times" w:hAnsi="Times" w:cs="Helvetica"/>
          <w:sz w:val="24"/>
          <w:szCs w:val="24"/>
        </w:rPr>
        <w:footnoteReference w:id="22"/>
      </w:r>
      <w:r w:rsidR="000E5B2A">
        <w:rPr>
          <w:rFonts w:ascii="Times" w:hAnsi="Times" w:cs="Helvetica"/>
          <w:sz w:val="24"/>
          <w:szCs w:val="24"/>
        </w:rPr>
        <w:t xml:space="preserve"> being</w:t>
      </w:r>
      <w:r w:rsidR="000E5B2A">
        <w:rPr>
          <w:rFonts w:ascii="Times" w:hAnsi="Times"/>
          <w:sz w:val="24"/>
          <w:szCs w:val="24"/>
        </w:rPr>
        <w:t xml:space="preserve"> </w:t>
      </w:r>
      <w:r w:rsidR="00006DEA">
        <w:rPr>
          <w:rFonts w:ascii="Times" w:hAnsi="Times"/>
          <w:sz w:val="24"/>
          <w:szCs w:val="24"/>
        </w:rPr>
        <w:t>a</w:t>
      </w:r>
      <w:r w:rsidR="008B13CD" w:rsidRPr="00B24740">
        <w:rPr>
          <w:rFonts w:ascii="Times" w:hAnsi="Times"/>
          <w:sz w:val="24"/>
          <w:szCs w:val="24"/>
        </w:rPr>
        <w:t xml:space="preserve"> striking example</w:t>
      </w:r>
      <w:r w:rsidR="008B13CD">
        <w:rPr>
          <w:rFonts w:ascii="Times" w:hAnsi="Times" w:cs="Helvetica"/>
          <w:sz w:val="24"/>
          <w:szCs w:val="24"/>
        </w:rPr>
        <w:t>. T</w:t>
      </w:r>
      <w:r w:rsidR="008B13CD" w:rsidRPr="00B24740">
        <w:rPr>
          <w:rFonts w:ascii="Times" w:hAnsi="Times" w:cs="Helvetica"/>
          <w:sz w:val="24"/>
          <w:szCs w:val="24"/>
        </w:rPr>
        <w:t xml:space="preserve">he court </w:t>
      </w:r>
      <w:r w:rsidR="008B13CD" w:rsidRPr="00B24740">
        <w:rPr>
          <w:rFonts w:ascii="Times" w:hAnsi="Times"/>
          <w:sz w:val="24"/>
          <w:szCs w:val="24"/>
        </w:rPr>
        <w:t>followed Malory</w:t>
      </w:r>
      <w:r w:rsidR="008B13CD" w:rsidRPr="00B24740">
        <w:rPr>
          <w:rStyle w:val="FootnoteReference"/>
          <w:rFonts w:ascii="Times" w:hAnsi="Times"/>
          <w:sz w:val="24"/>
          <w:szCs w:val="24"/>
        </w:rPr>
        <w:footnoteReference w:id="23"/>
      </w:r>
      <w:r w:rsidR="008D0E62">
        <w:rPr>
          <w:rFonts w:ascii="Times" w:hAnsi="Times"/>
          <w:sz w:val="24"/>
          <w:szCs w:val="24"/>
        </w:rPr>
        <w:t xml:space="preserve"> thus</w:t>
      </w:r>
      <w:r w:rsidR="008B13CD" w:rsidRPr="00B24740">
        <w:rPr>
          <w:rFonts w:ascii="Times" w:hAnsi="Times"/>
          <w:sz w:val="24"/>
          <w:szCs w:val="24"/>
        </w:rPr>
        <w:t xml:space="preserve"> </w:t>
      </w:r>
      <w:r w:rsidR="008D0E62">
        <w:rPr>
          <w:rFonts w:ascii="Times" w:hAnsi="Times" w:cs="Helvetica"/>
          <w:sz w:val="24"/>
          <w:szCs w:val="24"/>
        </w:rPr>
        <w:t>promoting</w:t>
      </w:r>
      <w:r w:rsidR="008B13CD" w:rsidRPr="00B24740">
        <w:rPr>
          <w:rFonts w:ascii="Times" w:hAnsi="Times" w:cs="Helvetica"/>
          <w:sz w:val="24"/>
          <w:szCs w:val="24"/>
        </w:rPr>
        <w:t xml:space="preserve"> deferred as opposed to immediate indefeasibility. </w:t>
      </w:r>
      <w:r w:rsidR="007A6B6E" w:rsidRPr="00B24740">
        <w:rPr>
          <w:rFonts w:ascii="Times" w:hAnsi="Times"/>
          <w:sz w:val="24"/>
          <w:szCs w:val="24"/>
        </w:rPr>
        <w:t xml:space="preserve">Consequently, </w:t>
      </w:r>
      <w:r w:rsidR="008B13CD">
        <w:rPr>
          <w:rFonts w:ascii="Times" w:hAnsi="Times"/>
          <w:sz w:val="24"/>
          <w:szCs w:val="24"/>
        </w:rPr>
        <w:t>it has</w:t>
      </w:r>
      <w:r w:rsidR="007A6B6E" w:rsidRPr="00B24740">
        <w:rPr>
          <w:rFonts w:ascii="Times" w:hAnsi="Times"/>
          <w:sz w:val="24"/>
          <w:szCs w:val="24"/>
        </w:rPr>
        <w:t xml:space="preserve"> undermine</w:t>
      </w:r>
      <w:r w:rsidR="00006DEA">
        <w:rPr>
          <w:rFonts w:ascii="Times" w:hAnsi="Times"/>
          <w:sz w:val="24"/>
          <w:szCs w:val="24"/>
        </w:rPr>
        <w:t>d</w:t>
      </w:r>
      <w:r w:rsidR="007A6B6E" w:rsidRPr="00B24740">
        <w:rPr>
          <w:rFonts w:ascii="Times" w:hAnsi="Times"/>
          <w:sz w:val="24"/>
          <w:szCs w:val="24"/>
        </w:rPr>
        <w:t xml:space="preserve"> the register’s role </w:t>
      </w:r>
      <w:r w:rsidR="008B13CD">
        <w:rPr>
          <w:rFonts w:ascii="Times" w:hAnsi="Times"/>
          <w:sz w:val="24"/>
          <w:szCs w:val="24"/>
        </w:rPr>
        <w:t>and</w:t>
      </w:r>
      <w:r w:rsidR="007A6B6E" w:rsidRPr="00B24740">
        <w:rPr>
          <w:rFonts w:ascii="Times" w:hAnsi="Times"/>
          <w:sz w:val="24"/>
          <w:szCs w:val="24"/>
        </w:rPr>
        <w:t xml:space="preserve"> h</w:t>
      </w:r>
      <w:r w:rsidR="008B13CD">
        <w:rPr>
          <w:rFonts w:ascii="Times" w:hAnsi="Times"/>
          <w:sz w:val="24"/>
          <w:szCs w:val="24"/>
        </w:rPr>
        <w:t xml:space="preserve">indered </w:t>
      </w:r>
      <w:r w:rsidR="007A6B6E" w:rsidRPr="00B24740">
        <w:rPr>
          <w:rFonts w:ascii="Times" w:hAnsi="Times"/>
          <w:sz w:val="24"/>
          <w:szCs w:val="24"/>
        </w:rPr>
        <w:t>the</w:t>
      </w:r>
      <w:r w:rsidR="008B13CD">
        <w:rPr>
          <w:rFonts w:ascii="Times" w:hAnsi="Times"/>
          <w:sz w:val="24"/>
          <w:szCs w:val="24"/>
        </w:rPr>
        <w:t xml:space="preserve"> </w:t>
      </w:r>
      <w:r w:rsidR="00C50D96">
        <w:rPr>
          <w:rFonts w:ascii="Times" w:hAnsi="Times"/>
          <w:sz w:val="24"/>
          <w:szCs w:val="24"/>
        </w:rPr>
        <w:t xml:space="preserve">development </w:t>
      </w:r>
      <w:r w:rsidR="008B13CD">
        <w:rPr>
          <w:rFonts w:ascii="Times" w:hAnsi="Times"/>
          <w:sz w:val="24"/>
          <w:szCs w:val="24"/>
        </w:rPr>
        <w:t>of the</w:t>
      </w:r>
      <w:r w:rsidR="007A6B6E" w:rsidRPr="00B24740">
        <w:rPr>
          <w:rFonts w:ascii="Times" w:hAnsi="Times"/>
          <w:sz w:val="24"/>
          <w:szCs w:val="24"/>
        </w:rPr>
        <w:t xml:space="preserve"> mirror principle</w:t>
      </w:r>
      <w:r w:rsidR="00AE66CD" w:rsidRPr="00B24740">
        <w:rPr>
          <w:rStyle w:val="FootnoteReference"/>
          <w:rFonts w:ascii="Times" w:hAnsi="Times" w:cs="Helvetica"/>
          <w:sz w:val="24"/>
          <w:szCs w:val="24"/>
        </w:rPr>
        <w:footnoteReference w:id="24"/>
      </w:r>
      <w:r w:rsidR="00050C4C">
        <w:rPr>
          <w:rFonts w:ascii="Times" w:hAnsi="Times"/>
          <w:sz w:val="24"/>
          <w:szCs w:val="24"/>
        </w:rPr>
        <w:t>, which according to Lord Oliver is the underlying principle of land registration</w:t>
      </w:r>
      <w:r w:rsidR="00050C4C">
        <w:rPr>
          <w:rStyle w:val="FootnoteReference"/>
          <w:rFonts w:ascii="Times" w:hAnsi="Times"/>
          <w:sz w:val="24"/>
          <w:szCs w:val="24"/>
        </w:rPr>
        <w:footnoteReference w:id="25"/>
      </w:r>
      <w:r w:rsidR="00AE66CD" w:rsidRPr="00B24740">
        <w:rPr>
          <w:rFonts w:ascii="Times" w:hAnsi="Times" w:cs="Helvetica"/>
          <w:sz w:val="24"/>
          <w:szCs w:val="24"/>
        </w:rPr>
        <w:t xml:space="preserve">. </w:t>
      </w:r>
      <w:r w:rsidR="00C50D96">
        <w:rPr>
          <w:rFonts w:ascii="Times" w:hAnsi="Times"/>
          <w:sz w:val="24"/>
          <w:szCs w:val="24"/>
        </w:rPr>
        <w:t xml:space="preserve">Due </w:t>
      </w:r>
      <w:r w:rsidR="00050C4C">
        <w:rPr>
          <w:rFonts w:ascii="Times" w:hAnsi="Times"/>
          <w:sz w:val="24"/>
          <w:szCs w:val="24"/>
        </w:rPr>
        <w:t>to these decisions</w:t>
      </w:r>
      <w:r w:rsidR="00762706" w:rsidRPr="00B24740">
        <w:rPr>
          <w:rFonts w:ascii="Times" w:hAnsi="Times"/>
          <w:sz w:val="24"/>
          <w:szCs w:val="24"/>
        </w:rPr>
        <w:t xml:space="preserve"> </w:t>
      </w:r>
      <w:r w:rsidR="007A6B6E" w:rsidRPr="00B24740">
        <w:rPr>
          <w:rFonts w:ascii="Times" w:hAnsi="Times"/>
          <w:sz w:val="24"/>
          <w:szCs w:val="24"/>
        </w:rPr>
        <w:t xml:space="preserve">it is questionable whether </w:t>
      </w:r>
      <w:r w:rsidR="00D86A42">
        <w:rPr>
          <w:rFonts w:ascii="Times" w:hAnsi="Times"/>
          <w:sz w:val="24"/>
          <w:szCs w:val="24"/>
        </w:rPr>
        <w:t xml:space="preserve">the registry can </w:t>
      </w:r>
      <w:r w:rsidR="008D0E62">
        <w:rPr>
          <w:rFonts w:ascii="Times" w:hAnsi="Times"/>
          <w:sz w:val="24"/>
          <w:szCs w:val="24"/>
        </w:rPr>
        <w:t>definitely</w:t>
      </w:r>
      <w:r w:rsidR="00D86A42">
        <w:rPr>
          <w:rFonts w:ascii="Times" w:hAnsi="Times"/>
          <w:sz w:val="24"/>
          <w:szCs w:val="24"/>
        </w:rPr>
        <w:t xml:space="preserve"> be</w:t>
      </w:r>
      <w:r w:rsidR="008E550C" w:rsidRPr="00B24740">
        <w:rPr>
          <w:rFonts w:ascii="Times" w:hAnsi="Times"/>
          <w:sz w:val="24"/>
          <w:szCs w:val="24"/>
        </w:rPr>
        <w:t xml:space="preserve"> relied </w:t>
      </w:r>
      <w:r w:rsidR="00D86A42">
        <w:rPr>
          <w:rFonts w:ascii="Times" w:hAnsi="Times"/>
          <w:sz w:val="24"/>
          <w:szCs w:val="24"/>
        </w:rPr>
        <w:t>upon</w:t>
      </w:r>
      <w:r w:rsidR="008E550C" w:rsidRPr="00B24740">
        <w:rPr>
          <w:rStyle w:val="FootnoteReference"/>
          <w:rFonts w:ascii="Times" w:hAnsi="Times"/>
          <w:sz w:val="24"/>
          <w:szCs w:val="24"/>
        </w:rPr>
        <w:footnoteReference w:id="26"/>
      </w:r>
      <w:r w:rsidR="007A6B6E" w:rsidRPr="00B24740">
        <w:rPr>
          <w:rFonts w:ascii="Times" w:hAnsi="Times"/>
          <w:sz w:val="24"/>
          <w:szCs w:val="24"/>
        </w:rPr>
        <w:t>.</w:t>
      </w:r>
      <w:r w:rsidR="008E550C" w:rsidRPr="00B24740">
        <w:rPr>
          <w:rFonts w:ascii="Times" w:hAnsi="Times"/>
          <w:sz w:val="24"/>
          <w:szCs w:val="24"/>
        </w:rPr>
        <w:t xml:space="preserve"> </w:t>
      </w:r>
    </w:p>
    <w:p w14:paraId="67A65AA6" w14:textId="77777777" w:rsidR="00D654B8" w:rsidRPr="00B24740" w:rsidRDefault="00D654B8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/>
          <w:sz w:val="24"/>
          <w:szCs w:val="24"/>
          <w:highlight w:val="yellow"/>
        </w:rPr>
      </w:pPr>
    </w:p>
    <w:p w14:paraId="718F0DCB" w14:textId="4004F7D3" w:rsidR="00854069" w:rsidRPr="00B24740" w:rsidRDefault="00C36F30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  <w:r w:rsidRPr="00B24740">
        <w:rPr>
          <w:rFonts w:ascii="Times" w:hAnsi="Times" w:cs="Helvetica"/>
          <w:sz w:val="24"/>
          <w:szCs w:val="24"/>
        </w:rPr>
        <w:t>Equally, i</w:t>
      </w:r>
      <w:r w:rsidR="000B19D4" w:rsidRPr="00B24740">
        <w:rPr>
          <w:rFonts w:ascii="Times" w:hAnsi="Times" w:cs="Helvetica"/>
          <w:sz w:val="24"/>
          <w:szCs w:val="24"/>
        </w:rPr>
        <w:t xml:space="preserve">t </w:t>
      </w:r>
      <w:r w:rsidR="00AE66CD">
        <w:rPr>
          <w:rFonts w:ascii="Times" w:hAnsi="Times" w:cs="Helvetica"/>
          <w:sz w:val="24"/>
          <w:szCs w:val="24"/>
        </w:rPr>
        <w:t>is submitted</w:t>
      </w:r>
      <w:r w:rsidR="000B19D4" w:rsidRPr="00B24740">
        <w:rPr>
          <w:rFonts w:ascii="Times" w:hAnsi="Times" w:cs="Helvetica"/>
          <w:sz w:val="24"/>
          <w:szCs w:val="24"/>
        </w:rPr>
        <w:t xml:space="preserve"> that the</w:t>
      </w:r>
      <w:r w:rsidR="005116C0" w:rsidRPr="00B24740">
        <w:rPr>
          <w:rFonts w:ascii="Times" w:hAnsi="Times" w:cs="Helvetica"/>
          <w:sz w:val="24"/>
          <w:szCs w:val="24"/>
        </w:rPr>
        <w:t xml:space="preserve"> category of overriding interests </w:t>
      </w:r>
      <w:r w:rsidR="00CE1574">
        <w:rPr>
          <w:rFonts w:ascii="Times" w:hAnsi="Times" w:cs="Helvetica"/>
          <w:sz w:val="24"/>
          <w:szCs w:val="24"/>
        </w:rPr>
        <w:t xml:space="preserve">has </w:t>
      </w:r>
      <w:r w:rsidR="00F14BF9">
        <w:rPr>
          <w:rFonts w:ascii="Times" w:hAnsi="Times" w:cs="Helvetica"/>
          <w:sz w:val="24"/>
          <w:szCs w:val="24"/>
        </w:rPr>
        <w:t>represented the</w:t>
      </w:r>
      <w:r w:rsidR="008B13CD">
        <w:rPr>
          <w:rFonts w:ascii="Times" w:hAnsi="Times" w:cs="Helvetica"/>
          <w:sz w:val="24"/>
          <w:szCs w:val="24"/>
        </w:rPr>
        <w:t xml:space="preserve"> ‘crack</w:t>
      </w:r>
      <w:r w:rsidR="00F14BF9">
        <w:rPr>
          <w:rFonts w:ascii="Times" w:hAnsi="Times" w:cs="Helvetica"/>
          <w:sz w:val="24"/>
          <w:szCs w:val="24"/>
        </w:rPr>
        <w:t>’</w:t>
      </w:r>
      <w:r w:rsidR="008B13CD">
        <w:rPr>
          <w:rFonts w:ascii="Times" w:hAnsi="Times" w:cs="Helvetica"/>
          <w:sz w:val="24"/>
          <w:szCs w:val="24"/>
        </w:rPr>
        <w:t xml:space="preserve"> in the mirror</w:t>
      </w:r>
      <w:r w:rsidR="00C802EA">
        <w:rPr>
          <w:rFonts w:ascii="Times" w:hAnsi="Times" w:cs="Helvetica"/>
          <w:sz w:val="24"/>
          <w:szCs w:val="24"/>
        </w:rPr>
        <w:t xml:space="preserve"> principle</w:t>
      </w:r>
      <w:r w:rsidR="00616909" w:rsidRPr="00B24740">
        <w:rPr>
          <w:rStyle w:val="FootnoteReference"/>
          <w:rFonts w:ascii="Times" w:hAnsi="Times" w:cs="Helvetica"/>
          <w:sz w:val="24"/>
          <w:szCs w:val="24"/>
        </w:rPr>
        <w:footnoteReference w:id="27"/>
      </w:r>
      <w:r w:rsidR="00AE66CD">
        <w:rPr>
          <w:rFonts w:ascii="Times" w:hAnsi="Times" w:cs="Helvetica"/>
          <w:sz w:val="24"/>
          <w:szCs w:val="24"/>
        </w:rPr>
        <w:t xml:space="preserve">, particularly </w:t>
      </w:r>
      <w:r w:rsidR="001745E6" w:rsidRPr="00B24740">
        <w:rPr>
          <w:rFonts w:ascii="Times" w:hAnsi="Times" w:cs="Helvetica"/>
          <w:sz w:val="24"/>
          <w:szCs w:val="24"/>
        </w:rPr>
        <w:t xml:space="preserve">prior to </w:t>
      </w:r>
      <w:r w:rsidR="001E6E0B" w:rsidRPr="00B24740">
        <w:rPr>
          <w:rFonts w:ascii="Times" w:hAnsi="Times" w:cs="Helvetica"/>
          <w:sz w:val="24"/>
          <w:szCs w:val="24"/>
        </w:rPr>
        <w:t xml:space="preserve">the </w:t>
      </w:r>
      <w:r w:rsidR="001E6E0B" w:rsidRPr="00756883">
        <w:rPr>
          <w:rFonts w:ascii="Times" w:hAnsi="Times" w:cs="Helvetica"/>
          <w:b/>
          <w:sz w:val="24"/>
          <w:szCs w:val="24"/>
          <w:u w:val="single"/>
        </w:rPr>
        <w:t>2002 Act</w:t>
      </w:r>
      <w:r w:rsidR="00756883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28"/>
      </w:r>
      <w:r w:rsidR="001E6E0B" w:rsidRPr="00B24740">
        <w:rPr>
          <w:rFonts w:ascii="Times" w:hAnsi="Times" w:cs="Helvetica"/>
          <w:sz w:val="24"/>
          <w:szCs w:val="24"/>
        </w:rPr>
        <w:t xml:space="preserve">.  For example, </w:t>
      </w:r>
      <w:proofErr w:type="spellStart"/>
      <w:r w:rsidR="001E6E0B" w:rsidRPr="00B24740">
        <w:rPr>
          <w:rFonts w:ascii="Times" w:hAnsi="Times" w:cs="Helvetica"/>
          <w:sz w:val="24"/>
          <w:szCs w:val="24"/>
        </w:rPr>
        <w:t>Ruoff</w:t>
      </w:r>
      <w:proofErr w:type="spellEnd"/>
      <w:r w:rsidR="001E6E0B" w:rsidRPr="00B24740">
        <w:rPr>
          <w:rFonts w:ascii="Times" w:hAnsi="Times" w:cs="Helvetica"/>
          <w:sz w:val="24"/>
          <w:szCs w:val="24"/>
        </w:rPr>
        <w:t xml:space="preserve"> described overriding interests as ‘</w:t>
      </w:r>
      <w:r w:rsidR="001E6E0B" w:rsidRPr="00B24740">
        <w:rPr>
          <w:rFonts w:ascii="Times" w:hAnsi="Times"/>
          <w:sz w:val="24"/>
          <w:szCs w:val="24"/>
        </w:rPr>
        <w:t>well-recognised burdens</w:t>
      </w:r>
      <w:r w:rsidR="003B0D50">
        <w:rPr>
          <w:rFonts w:ascii="Times" w:hAnsi="Times"/>
          <w:sz w:val="24"/>
          <w:szCs w:val="24"/>
        </w:rPr>
        <w:t>’</w:t>
      </w:r>
      <w:r w:rsidR="00AE66CD">
        <w:rPr>
          <w:rStyle w:val="FootnoteReference"/>
          <w:rFonts w:ascii="Times" w:hAnsi="Times"/>
          <w:sz w:val="24"/>
          <w:szCs w:val="24"/>
        </w:rPr>
        <w:footnoteReference w:id="29"/>
      </w:r>
      <w:r w:rsidR="003B0D50">
        <w:rPr>
          <w:rFonts w:ascii="Times" w:hAnsi="Times" w:cs="Helvetica"/>
          <w:sz w:val="24"/>
          <w:szCs w:val="24"/>
        </w:rPr>
        <w:t xml:space="preserve">. </w:t>
      </w:r>
      <w:r w:rsidR="00D654B8" w:rsidRPr="00B24740">
        <w:rPr>
          <w:rFonts w:ascii="Times" w:hAnsi="Times" w:cs="Helvetica"/>
          <w:sz w:val="24"/>
          <w:szCs w:val="24"/>
        </w:rPr>
        <w:t xml:space="preserve">Moreover, </w:t>
      </w:r>
      <w:proofErr w:type="spellStart"/>
      <w:r w:rsidR="00D654B8" w:rsidRPr="00B24740">
        <w:rPr>
          <w:rFonts w:ascii="Times" w:hAnsi="Times" w:cs="Helvetica"/>
          <w:sz w:val="24"/>
          <w:szCs w:val="24"/>
        </w:rPr>
        <w:t>Dworkin</w:t>
      </w:r>
      <w:proofErr w:type="spellEnd"/>
      <w:r w:rsidR="001E6E0B" w:rsidRPr="00B24740">
        <w:rPr>
          <w:rFonts w:ascii="Times" w:hAnsi="Times" w:cs="Helvetica"/>
          <w:sz w:val="24"/>
          <w:szCs w:val="24"/>
        </w:rPr>
        <w:t xml:space="preserve"> contended that the mirror principle could never be said to work properly until everything affecting titles was displayed on a register</w:t>
      </w:r>
      <w:r w:rsidR="002942DB">
        <w:rPr>
          <w:rStyle w:val="FootnoteReference"/>
          <w:rFonts w:ascii="Times" w:hAnsi="Times" w:cs="Helvetica"/>
          <w:sz w:val="24"/>
          <w:szCs w:val="24"/>
        </w:rPr>
        <w:footnoteReference w:id="30"/>
      </w:r>
      <w:r w:rsidR="001E6E0B" w:rsidRPr="00B24740">
        <w:rPr>
          <w:rFonts w:ascii="Times" w:hAnsi="Times" w:cs="Helvetica"/>
          <w:sz w:val="24"/>
          <w:szCs w:val="24"/>
        </w:rPr>
        <w:t xml:space="preserve">. </w:t>
      </w:r>
      <w:r w:rsidR="00854069" w:rsidRPr="00B24740">
        <w:rPr>
          <w:rFonts w:ascii="Times" w:hAnsi="Times" w:cs="Helvetica"/>
          <w:sz w:val="24"/>
          <w:szCs w:val="24"/>
        </w:rPr>
        <w:t xml:space="preserve">In practice, the purchaser is always at risk of discovering that the title he </w:t>
      </w:r>
      <w:r w:rsidR="00CE1574">
        <w:rPr>
          <w:rFonts w:ascii="Times" w:hAnsi="Times" w:cs="Helvetica"/>
          <w:sz w:val="24"/>
          <w:szCs w:val="24"/>
        </w:rPr>
        <w:t>acquired</w:t>
      </w:r>
      <w:r w:rsidR="00854069" w:rsidRPr="00B24740">
        <w:rPr>
          <w:rFonts w:ascii="Times" w:hAnsi="Times" w:cs="Helvetica"/>
          <w:sz w:val="24"/>
          <w:szCs w:val="24"/>
        </w:rPr>
        <w:t xml:space="preserve"> is sub</w:t>
      </w:r>
      <w:r w:rsidR="00050C4C">
        <w:rPr>
          <w:rFonts w:ascii="Times" w:hAnsi="Times" w:cs="Helvetica"/>
          <w:sz w:val="24"/>
          <w:szCs w:val="24"/>
        </w:rPr>
        <w:t xml:space="preserve">ject to an interest that </w:t>
      </w:r>
      <w:r w:rsidR="00854069" w:rsidRPr="00B24740">
        <w:rPr>
          <w:rFonts w:ascii="Times" w:hAnsi="Times" w:cs="Helvetica"/>
          <w:sz w:val="24"/>
          <w:szCs w:val="24"/>
        </w:rPr>
        <w:t>does not appear on the register</w:t>
      </w:r>
      <w:r w:rsidR="00CD2D77">
        <w:rPr>
          <w:rStyle w:val="FootnoteReference"/>
          <w:rFonts w:ascii="Times" w:hAnsi="Times" w:cs="Helvetica"/>
          <w:sz w:val="24"/>
          <w:szCs w:val="24"/>
        </w:rPr>
        <w:footnoteReference w:id="31"/>
      </w:r>
      <w:r w:rsidR="00854069" w:rsidRPr="00B24740">
        <w:rPr>
          <w:rFonts w:ascii="Times" w:hAnsi="Times" w:cs="Helvetica"/>
          <w:sz w:val="24"/>
          <w:szCs w:val="24"/>
        </w:rPr>
        <w:t xml:space="preserve">. </w:t>
      </w:r>
      <w:r w:rsidR="00050C4C">
        <w:rPr>
          <w:rFonts w:ascii="Times" w:hAnsi="Times" w:cs="Helvetica"/>
          <w:sz w:val="24"/>
          <w:szCs w:val="24"/>
        </w:rPr>
        <w:t xml:space="preserve">Since </w:t>
      </w:r>
      <w:r w:rsidR="00854069" w:rsidRPr="00B24740">
        <w:rPr>
          <w:rFonts w:ascii="Times" w:hAnsi="Times" w:cs="Helvetica"/>
          <w:sz w:val="24"/>
          <w:szCs w:val="24"/>
        </w:rPr>
        <w:t xml:space="preserve">Lord </w:t>
      </w:r>
      <w:proofErr w:type="spellStart"/>
      <w:r w:rsidR="00854069" w:rsidRPr="00B24740">
        <w:rPr>
          <w:rFonts w:ascii="Times" w:hAnsi="Times" w:cs="Helvetica"/>
          <w:sz w:val="24"/>
          <w:szCs w:val="24"/>
        </w:rPr>
        <w:t>Scarman</w:t>
      </w:r>
      <w:proofErr w:type="spellEnd"/>
      <w:r w:rsidR="00854069" w:rsidRPr="00B24740">
        <w:rPr>
          <w:rFonts w:ascii="Times" w:hAnsi="Times" w:cs="Helvetica"/>
          <w:sz w:val="24"/>
          <w:szCs w:val="24"/>
        </w:rPr>
        <w:t xml:space="preserve"> defined the purchaser’s task of examining title as ‘</w:t>
      </w:r>
      <w:r w:rsidR="00854069" w:rsidRPr="002942DB">
        <w:rPr>
          <w:rFonts w:ascii="Times" w:hAnsi="Times" w:cs="Helvetica"/>
          <w:i/>
          <w:sz w:val="24"/>
          <w:szCs w:val="24"/>
        </w:rPr>
        <w:t>wearisome and intricate’</w:t>
      </w:r>
      <w:r w:rsidR="00854069" w:rsidRPr="00B24740">
        <w:rPr>
          <w:rStyle w:val="FootnoteReference"/>
          <w:rFonts w:ascii="Times" w:hAnsi="Times" w:cs="Helvetica"/>
          <w:sz w:val="24"/>
          <w:szCs w:val="24"/>
        </w:rPr>
        <w:footnoteReference w:id="32"/>
      </w:r>
      <w:r w:rsidR="00050C4C">
        <w:rPr>
          <w:rFonts w:ascii="Times" w:hAnsi="Times" w:cs="Helvetica"/>
          <w:sz w:val="24"/>
          <w:szCs w:val="24"/>
        </w:rPr>
        <w:t>, scholars</w:t>
      </w:r>
      <w:r w:rsidR="00854069" w:rsidRPr="00B24740">
        <w:rPr>
          <w:rFonts w:ascii="Times" w:hAnsi="Times" w:cs="Helvetica"/>
          <w:sz w:val="24"/>
          <w:szCs w:val="24"/>
        </w:rPr>
        <w:t xml:space="preserve"> </w:t>
      </w:r>
      <w:r w:rsidR="001E6E0B" w:rsidRPr="00B24740">
        <w:rPr>
          <w:rFonts w:ascii="Times" w:hAnsi="Times" w:cs="Helvetica"/>
          <w:sz w:val="24"/>
          <w:szCs w:val="24"/>
        </w:rPr>
        <w:t xml:space="preserve">propounded that </w:t>
      </w:r>
      <w:r w:rsidR="00EB0199">
        <w:rPr>
          <w:rFonts w:ascii="Times" w:hAnsi="Times" w:cs="Helvetica"/>
          <w:sz w:val="24"/>
          <w:szCs w:val="24"/>
        </w:rPr>
        <w:t>overriding interests</w:t>
      </w:r>
      <w:r w:rsidR="001E6E0B" w:rsidRPr="00B24740">
        <w:rPr>
          <w:rFonts w:ascii="Times" w:hAnsi="Times" w:cs="Helvetica"/>
          <w:sz w:val="24"/>
          <w:szCs w:val="24"/>
        </w:rPr>
        <w:t xml:space="preserve"> </w:t>
      </w:r>
      <w:r w:rsidR="00854069" w:rsidRPr="00B24740">
        <w:rPr>
          <w:rFonts w:ascii="Times" w:hAnsi="Times" w:cs="Helvetica"/>
          <w:sz w:val="24"/>
          <w:szCs w:val="24"/>
        </w:rPr>
        <w:t>be</w:t>
      </w:r>
      <w:r w:rsidR="001E6E0B" w:rsidRPr="00B24740">
        <w:rPr>
          <w:rFonts w:ascii="Times" w:hAnsi="Times" w:cs="Helvetica"/>
          <w:sz w:val="24"/>
          <w:szCs w:val="24"/>
        </w:rPr>
        <w:t xml:space="preserve"> eliminated or, alternatively, drastically reduced</w:t>
      </w:r>
      <w:r w:rsidR="00050C4C">
        <w:rPr>
          <w:rStyle w:val="FootnoteReference"/>
          <w:rFonts w:ascii="Times" w:hAnsi="Times" w:cs="Helvetica"/>
          <w:sz w:val="24"/>
          <w:szCs w:val="24"/>
        </w:rPr>
        <w:footnoteReference w:id="33"/>
      </w:r>
      <w:r w:rsidR="001E6E0B" w:rsidRPr="00B24740">
        <w:rPr>
          <w:rFonts w:ascii="Times" w:hAnsi="Times" w:cs="Helvetica"/>
          <w:sz w:val="24"/>
          <w:szCs w:val="24"/>
        </w:rPr>
        <w:t>.</w:t>
      </w:r>
      <w:r w:rsidR="00E0240D" w:rsidRPr="00B24740">
        <w:rPr>
          <w:rFonts w:ascii="Times" w:hAnsi="Times" w:cs="Helvetica"/>
          <w:sz w:val="24"/>
          <w:szCs w:val="24"/>
        </w:rPr>
        <w:t xml:space="preserve"> </w:t>
      </w:r>
    </w:p>
    <w:p w14:paraId="63C203C5" w14:textId="2DD34D3C" w:rsidR="00D654B8" w:rsidRPr="00B24740" w:rsidRDefault="00B85ADD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  <w:r>
        <w:rPr>
          <w:rFonts w:ascii="Times" w:hAnsi="Times" w:cs="Helvetica"/>
          <w:sz w:val="24"/>
          <w:szCs w:val="24"/>
        </w:rPr>
        <w:t xml:space="preserve">However, </w:t>
      </w:r>
      <w:r w:rsidR="00E0240D" w:rsidRPr="00B24740">
        <w:rPr>
          <w:rFonts w:ascii="Times" w:hAnsi="Times" w:cs="Helvetica"/>
          <w:sz w:val="24"/>
          <w:szCs w:val="24"/>
        </w:rPr>
        <w:t>such interests still exist</w:t>
      </w:r>
      <w:r>
        <w:rPr>
          <w:rStyle w:val="FootnoteReference"/>
          <w:rFonts w:ascii="Times" w:hAnsi="Times" w:cs="Helvetica"/>
          <w:sz w:val="24"/>
          <w:szCs w:val="24"/>
        </w:rPr>
        <w:footnoteReference w:id="34"/>
      </w:r>
      <w:r w:rsidR="00E0240D" w:rsidRPr="00B24740">
        <w:rPr>
          <w:rFonts w:ascii="Times" w:hAnsi="Times" w:cs="Helvetica"/>
          <w:sz w:val="24"/>
          <w:szCs w:val="24"/>
        </w:rPr>
        <w:t xml:space="preserve">. </w:t>
      </w:r>
      <w:r w:rsidR="00D654B8" w:rsidRPr="00B24740">
        <w:rPr>
          <w:rFonts w:ascii="Times" w:hAnsi="Times" w:cs="Helvetica"/>
          <w:sz w:val="24"/>
          <w:szCs w:val="24"/>
        </w:rPr>
        <w:t xml:space="preserve">A number of academics </w:t>
      </w:r>
      <w:r w:rsidR="00D86A42">
        <w:rPr>
          <w:rFonts w:ascii="Times" w:hAnsi="Times" w:cs="Helvetica"/>
          <w:sz w:val="24"/>
          <w:szCs w:val="24"/>
        </w:rPr>
        <w:t>have</w:t>
      </w:r>
      <w:r w:rsidR="001745E6" w:rsidRPr="00B24740">
        <w:rPr>
          <w:rFonts w:ascii="Times" w:hAnsi="Times" w:cs="Helvetica"/>
          <w:sz w:val="24"/>
          <w:szCs w:val="24"/>
        </w:rPr>
        <w:t xml:space="preserve"> contended</w:t>
      </w:r>
      <w:r w:rsidR="00D654B8" w:rsidRPr="00B24740">
        <w:rPr>
          <w:rFonts w:ascii="Times" w:hAnsi="Times" w:cs="Helvetica"/>
          <w:sz w:val="24"/>
          <w:szCs w:val="24"/>
        </w:rPr>
        <w:t xml:space="preserve"> that it would be neither possible nor desirable to abolish them altogether. For instance, Dixon maintained that it would be impracticable and </w:t>
      </w:r>
      <w:r w:rsidR="00854069" w:rsidRPr="00B24740">
        <w:rPr>
          <w:rFonts w:ascii="Times" w:hAnsi="Times" w:cs="Helvetica"/>
          <w:sz w:val="24"/>
          <w:szCs w:val="24"/>
        </w:rPr>
        <w:t xml:space="preserve">unrealistic </w:t>
      </w:r>
      <w:r w:rsidR="00D654B8" w:rsidRPr="00B24740">
        <w:rPr>
          <w:rFonts w:ascii="Times" w:hAnsi="Times" w:cs="Helvetica"/>
          <w:sz w:val="24"/>
          <w:szCs w:val="24"/>
        </w:rPr>
        <w:t xml:space="preserve">to expect </w:t>
      </w:r>
      <w:r w:rsidR="00854069" w:rsidRPr="00B24740">
        <w:rPr>
          <w:rFonts w:ascii="Times" w:hAnsi="Times" w:cs="Helvetica"/>
          <w:sz w:val="24"/>
          <w:szCs w:val="24"/>
        </w:rPr>
        <w:t>every</w:t>
      </w:r>
      <w:r w:rsidR="00D654B8" w:rsidRPr="00B24740">
        <w:rPr>
          <w:rFonts w:ascii="Times" w:hAnsi="Times" w:cs="Helvetica"/>
          <w:sz w:val="24"/>
          <w:szCs w:val="24"/>
        </w:rPr>
        <w:t xml:space="preserve"> title</w:t>
      </w:r>
      <w:r w:rsidR="00854069" w:rsidRPr="00B24740">
        <w:rPr>
          <w:rFonts w:ascii="Times" w:hAnsi="Times" w:cs="Helvetica"/>
          <w:sz w:val="24"/>
          <w:szCs w:val="24"/>
        </w:rPr>
        <w:t xml:space="preserve"> –including, for instance, local land charges- to be registered</w:t>
      </w:r>
      <w:r w:rsidR="00D654B8" w:rsidRPr="00B24740">
        <w:rPr>
          <w:rStyle w:val="FootnoteReference"/>
          <w:rFonts w:ascii="Times" w:hAnsi="Times" w:cs="Helvetica"/>
          <w:sz w:val="24"/>
          <w:szCs w:val="24"/>
        </w:rPr>
        <w:footnoteReference w:id="35"/>
      </w:r>
      <w:r w:rsidR="00854069" w:rsidRPr="00B24740">
        <w:rPr>
          <w:rFonts w:ascii="Times" w:hAnsi="Times" w:cs="Helvetica"/>
          <w:sz w:val="24"/>
          <w:szCs w:val="24"/>
        </w:rPr>
        <w:t xml:space="preserve">. Similarly, </w:t>
      </w:r>
      <w:proofErr w:type="spellStart"/>
      <w:r w:rsidR="00854069" w:rsidRPr="00B24740">
        <w:rPr>
          <w:rFonts w:ascii="Times" w:hAnsi="Times" w:cs="Helvetica"/>
          <w:sz w:val="24"/>
          <w:szCs w:val="24"/>
        </w:rPr>
        <w:t>Bogusz</w:t>
      </w:r>
      <w:proofErr w:type="spellEnd"/>
      <w:r w:rsidR="00854069" w:rsidRPr="00B24740">
        <w:rPr>
          <w:rFonts w:ascii="Times" w:hAnsi="Times" w:cs="Helvetica"/>
          <w:sz w:val="24"/>
          <w:szCs w:val="24"/>
        </w:rPr>
        <w:t xml:space="preserve"> </w:t>
      </w:r>
      <w:r w:rsidR="00CE1574">
        <w:rPr>
          <w:rFonts w:ascii="Times" w:hAnsi="Times" w:cs="Helvetica"/>
          <w:sz w:val="24"/>
          <w:szCs w:val="24"/>
        </w:rPr>
        <w:t>argues</w:t>
      </w:r>
      <w:r w:rsidR="00854069" w:rsidRPr="00B24740">
        <w:rPr>
          <w:rFonts w:ascii="Times" w:hAnsi="Times" w:cs="Helvetica"/>
          <w:sz w:val="24"/>
          <w:szCs w:val="24"/>
        </w:rPr>
        <w:t xml:space="preserve"> that overriding interests should exist because they may afford protection to otherwise vulnerable individuals</w:t>
      </w:r>
      <w:r w:rsidR="00854069" w:rsidRPr="00B24740">
        <w:rPr>
          <w:rStyle w:val="FootnoteReference"/>
          <w:rFonts w:ascii="Times" w:hAnsi="Times" w:cs="Helvetica"/>
          <w:sz w:val="24"/>
          <w:szCs w:val="24"/>
        </w:rPr>
        <w:footnoteReference w:id="36"/>
      </w:r>
      <w:r w:rsidR="00854069" w:rsidRPr="00B24740">
        <w:rPr>
          <w:rFonts w:ascii="Times" w:hAnsi="Times" w:cs="Helvetica"/>
          <w:sz w:val="24"/>
          <w:szCs w:val="24"/>
        </w:rPr>
        <w:t xml:space="preserve">. Additionally, </w:t>
      </w:r>
      <w:proofErr w:type="spellStart"/>
      <w:r w:rsidR="00D654B8" w:rsidRPr="00B24740">
        <w:rPr>
          <w:rFonts w:ascii="Times" w:hAnsi="Times" w:cs="Helvetica"/>
          <w:sz w:val="24"/>
          <w:szCs w:val="24"/>
        </w:rPr>
        <w:t>Ruoff</w:t>
      </w:r>
      <w:proofErr w:type="spellEnd"/>
      <w:r w:rsidR="00D654B8" w:rsidRPr="00B24740">
        <w:rPr>
          <w:rFonts w:ascii="Times" w:hAnsi="Times" w:cs="Helvetica"/>
          <w:sz w:val="24"/>
          <w:szCs w:val="24"/>
        </w:rPr>
        <w:t xml:space="preserve"> </w:t>
      </w:r>
      <w:r w:rsidR="00854069" w:rsidRPr="00B24740">
        <w:rPr>
          <w:rFonts w:ascii="Times" w:hAnsi="Times" w:cs="Helvetica"/>
          <w:sz w:val="24"/>
          <w:szCs w:val="24"/>
        </w:rPr>
        <w:t>contended</w:t>
      </w:r>
      <w:r w:rsidR="00D654B8" w:rsidRPr="00B24740">
        <w:rPr>
          <w:rFonts w:ascii="Times" w:hAnsi="Times" w:cs="Helvetica"/>
          <w:sz w:val="24"/>
          <w:szCs w:val="24"/>
        </w:rPr>
        <w:t xml:space="preserve"> that land law should refl</w:t>
      </w:r>
      <w:r w:rsidR="00832BAA" w:rsidRPr="00B24740">
        <w:rPr>
          <w:rFonts w:ascii="Times" w:hAnsi="Times" w:cs="Helvetica"/>
          <w:sz w:val="24"/>
          <w:szCs w:val="24"/>
        </w:rPr>
        <w:t xml:space="preserve">ect </w:t>
      </w:r>
      <w:r w:rsidR="00CE1574">
        <w:rPr>
          <w:rFonts w:ascii="Times" w:hAnsi="Times" w:cs="Helvetica"/>
          <w:sz w:val="24"/>
          <w:szCs w:val="24"/>
        </w:rPr>
        <w:t>its citizens</w:t>
      </w:r>
      <w:r w:rsidR="00832BAA" w:rsidRPr="00B24740">
        <w:rPr>
          <w:rFonts w:ascii="Times" w:hAnsi="Times" w:cs="Helvetica"/>
          <w:sz w:val="24"/>
          <w:szCs w:val="24"/>
        </w:rPr>
        <w:t>; in his opinion, the B</w:t>
      </w:r>
      <w:r w:rsidR="00D654B8" w:rsidRPr="00B24740">
        <w:rPr>
          <w:rFonts w:ascii="Times" w:hAnsi="Times" w:cs="Helvetica"/>
          <w:sz w:val="24"/>
          <w:szCs w:val="24"/>
        </w:rPr>
        <w:t>ritish public would not tolerate a perfectly organised register</w:t>
      </w:r>
      <w:r w:rsidR="00D654B8" w:rsidRPr="00B24740">
        <w:rPr>
          <w:rStyle w:val="FootnoteReference"/>
          <w:rFonts w:ascii="Times" w:hAnsi="Times" w:cs="Helvetica"/>
          <w:sz w:val="24"/>
          <w:szCs w:val="24"/>
        </w:rPr>
        <w:footnoteReference w:id="37"/>
      </w:r>
      <w:r w:rsidR="00D654B8" w:rsidRPr="00B24740">
        <w:rPr>
          <w:rFonts w:ascii="Times" w:hAnsi="Times" w:cs="Helvetica"/>
          <w:sz w:val="24"/>
          <w:szCs w:val="24"/>
        </w:rPr>
        <w:t xml:space="preserve">. </w:t>
      </w:r>
    </w:p>
    <w:p w14:paraId="39E7C0C5" w14:textId="77777777" w:rsidR="00D654B8" w:rsidRPr="00B24740" w:rsidRDefault="00D654B8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</w:p>
    <w:p w14:paraId="302704A5" w14:textId="55D27D59" w:rsidR="00B85ADD" w:rsidRDefault="00FD2606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  <w:r w:rsidRPr="00B24740">
        <w:rPr>
          <w:rFonts w:ascii="Times" w:hAnsi="Times" w:cs="Helvetica"/>
          <w:sz w:val="24"/>
          <w:szCs w:val="24"/>
        </w:rPr>
        <w:t xml:space="preserve">The </w:t>
      </w:r>
      <w:r w:rsidRPr="0041743F">
        <w:rPr>
          <w:rFonts w:ascii="Times" w:hAnsi="Times" w:cs="Helvetica"/>
          <w:b/>
          <w:sz w:val="24"/>
          <w:szCs w:val="24"/>
          <w:u w:val="single"/>
        </w:rPr>
        <w:t>LRA</w:t>
      </w:r>
      <w:r w:rsidR="009F6D98" w:rsidRPr="0041743F">
        <w:rPr>
          <w:rFonts w:ascii="Times" w:hAnsi="Times" w:cs="Helvetica"/>
          <w:b/>
          <w:sz w:val="24"/>
          <w:szCs w:val="24"/>
          <w:u w:val="single"/>
        </w:rPr>
        <w:t xml:space="preserve"> 2002</w:t>
      </w:r>
      <w:r w:rsidR="0041743F" w:rsidRPr="00CD2D77">
        <w:rPr>
          <w:rStyle w:val="FootnoteReference"/>
          <w:rFonts w:ascii="Times" w:hAnsi="Times" w:cs="Helvetica"/>
          <w:sz w:val="24"/>
          <w:szCs w:val="24"/>
        </w:rPr>
        <w:footnoteReference w:id="38"/>
      </w:r>
      <w:r w:rsidRPr="00B24740">
        <w:rPr>
          <w:rFonts w:ascii="Times" w:hAnsi="Times" w:cs="Helvetica"/>
          <w:sz w:val="24"/>
          <w:szCs w:val="24"/>
        </w:rPr>
        <w:t xml:space="preserve"> </w:t>
      </w:r>
      <w:r w:rsidR="00E742ED">
        <w:rPr>
          <w:rFonts w:ascii="Times" w:hAnsi="Times" w:cs="Helvetica"/>
          <w:sz w:val="24"/>
          <w:szCs w:val="24"/>
        </w:rPr>
        <w:t>tries</w:t>
      </w:r>
      <w:r w:rsidR="00E83C25" w:rsidRPr="00B24740">
        <w:rPr>
          <w:rFonts w:ascii="Times" w:hAnsi="Times" w:cs="Helvetica"/>
          <w:sz w:val="24"/>
          <w:szCs w:val="24"/>
        </w:rPr>
        <w:t xml:space="preserve"> to draw a balance between the contrasting views</w:t>
      </w:r>
      <w:r w:rsidRPr="00B24740">
        <w:rPr>
          <w:rFonts w:ascii="Times" w:hAnsi="Times" w:cs="Helvetica"/>
          <w:sz w:val="24"/>
          <w:szCs w:val="24"/>
        </w:rPr>
        <w:t xml:space="preserve"> by </w:t>
      </w:r>
      <w:r w:rsidR="00674A10" w:rsidRPr="00B24740">
        <w:rPr>
          <w:rFonts w:ascii="Times" w:hAnsi="Times" w:cs="Helvetica"/>
          <w:sz w:val="24"/>
          <w:szCs w:val="24"/>
        </w:rPr>
        <w:t>limiting the scope of overriding interest</w:t>
      </w:r>
      <w:r w:rsidR="0041743F">
        <w:rPr>
          <w:rFonts w:ascii="Times" w:hAnsi="Times" w:cs="Helvetica"/>
          <w:sz w:val="24"/>
          <w:szCs w:val="24"/>
        </w:rPr>
        <w:t>s</w:t>
      </w:r>
      <w:r w:rsidR="00E83C25" w:rsidRPr="00B24740">
        <w:rPr>
          <w:rFonts w:ascii="Times" w:hAnsi="Times" w:cs="Helvetica"/>
          <w:sz w:val="24"/>
          <w:szCs w:val="24"/>
        </w:rPr>
        <w:t xml:space="preserve">, particularly when they </w:t>
      </w:r>
      <w:r w:rsidR="00B85ADD">
        <w:rPr>
          <w:rFonts w:ascii="Times" w:hAnsi="Times" w:cs="Helvetica"/>
          <w:sz w:val="24"/>
          <w:szCs w:val="24"/>
        </w:rPr>
        <w:t>are</w:t>
      </w:r>
      <w:r w:rsidR="00E83C25" w:rsidRPr="00B24740">
        <w:rPr>
          <w:rFonts w:ascii="Times" w:hAnsi="Times" w:cs="Helvetica"/>
          <w:sz w:val="24"/>
          <w:szCs w:val="24"/>
        </w:rPr>
        <w:t xml:space="preserve"> not readily ascertainable</w:t>
      </w:r>
      <w:r w:rsidR="00E83C25" w:rsidRPr="00B24740">
        <w:rPr>
          <w:rStyle w:val="FootnoteReference"/>
          <w:rFonts w:ascii="Times" w:hAnsi="Times" w:cs="Helvetica"/>
          <w:sz w:val="24"/>
          <w:szCs w:val="24"/>
        </w:rPr>
        <w:footnoteReference w:id="39"/>
      </w:r>
      <w:r w:rsidR="00E83C25" w:rsidRPr="00B24740">
        <w:rPr>
          <w:rFonts w:ascii="Times" w:hAnsi="Times" w:cs="Helvetica"/>
          <w:sz w:val="24"/>
          <w:szCs w:val="24"/>
        </w:rPr>
        <w:t xml:space="preserve">.  </w:t>
      </w:r>
      <w:r w:rsidR="00E742ED">
        <w:rPr>
          <w:rFonts w:ascii="Times" w:hAnsi="Times" w:cs="Helvetica"/>
          <w:sz w:val="24"/>
          <w:szCs w:val="24"/>
        </w:rPr>
        <w:t>Consequently,</w:t>
      </w:r>
      <w:r w:rsidR="00674A10" w:rsidRPr="00B24740">
        <w:rPr>
          <w:rFonts w:ascii="Times" w:hAnsi="Times" w:cs="Helvetica"/>
          <w:sz w:val="24"/>
          <w:szCs w:val="24"/>
        </w:rPr>
        <w:t xml:space="preserve"> an occupier’s rights</w:t>
      </w:r>
      <w:r w:rsidR="00CE1574">
        <w:rPr>
          <w:rStyle w:val="FootnoteReference"/>
          <w:rFonts w:ascii="Times" w:hAnsi="Times" w:cs="Helvetica"/>
          <w:sz w:val="24"/>
          <w:szCs w:val="24"/>
        </w:rPr>
        <w:footnoteReference w:id="40"/>
      </w:r>
      <w:r w:rsidR="00674A10" w:rsidRPr="00B24740">
        <w:rPr>
          <w:rFonts w:ascii="Times" w:hAnsi="Times" w:cs="Helvetica"/>
          <w:sz w:val="24"/>
          <w:szCs w:val="24"/>
        </w:rPr>
        <w:t xml:space="preserve"> will prevail over a purchaser</w:t>
      </w:r>
      <w:r w:rsidR="00B85ADD">
        <w:rPr>
          <w:rFonts w:ascii="Times" w:hAnsi="Times" w:cs="Helvetica"/>
          <w:sz w:val="24"/>
          <w:szCs w:val="24"/>
        </w:rPr>
        <w:t>’s</w:t>
      </w:r>
      <w:r w:rsidR="00BA6EF0" w:rsidRPr="00B24740">
        <w:rPr>
          <w:rFonts w:ascii="Times" w:hAnsi="Times" w:cs="Helvetica"/>
          <w:sz w:val="24"/>
          <w:szCs w:val="24"/>
        </w:rPr>
        <w:t xml:space="preserve"> only if the latter has knowledge of occupation or </w:t>
      </w:r>
      <w:r w:rsidR="00B85ADD">
        <w:rPr>
          <w:rFonts w:ascii="Times" w:hAnsi="Times" w:cs="Helvetica"/>
          <w:sz w:val="24"/>
          <w:szCs w:val="24"/>
        </w:rPr>
        <w:t xml:space="preserve">if, </w:t>
      </w:r>
      <w:r w:rsidR="00BA6EF0" w:rsidRPr="00B24740">
        <w:rPr>
          <w:rFonts w:ascii="Times" w:hAnsi="Times" w:cs="Helvetica"/>
          <w:sz w:val="24"/>
          <w:szCs w:val="24"/>
        </w:rPr>
        <w:t>following a reasonably careful inspection of the land</w:t>
      </w:r>
      <w:r w:rsidR="00B85ADD">
        <w:rPr>
          <w:rFonts w:ascii="Times" w:hAnsi="Times" w:cs="Helvetica"/>
          <w:sz w:val="24"/>
          <w:szCs w:val="24"/>
        </w:rPr>
        <w:t>, t</w:t>
      </w:r>
      <w:r w:rsidR="0041743F">
        <w:rPr>
          <w:rFonts w:ascii="Times" w:hAnsi="Times" w:cs="Helvetica"/>
          <w:sz w:val="24"/>
          <w:szCs w:val="24"/>
        </w:rPr>
        <w:t>he</w:t>
      </w:r>
      <w:r w:rsidR="00B85ADD">
        <w:rPr>
          <w:rFonts w:ascii="Times" w:hAnsi="Times" w:cs="Helvetica"/>
          <w:sz w:val="24"/>
          <w:szCs w:val="24"/>
        </w:rPr>
        <w:t xml:space="preserve"> occupation w</w:t>
      </w:r>
      <w:r w:rsidR="00461D6E">
        <w:rPr>
          <w:rFonts w:ascii="Times" w:hAnsi="Times" w:cs="Helvetica"/>
          <w:sz w:val="24"/>
          <w:szCs w:val="24"/>
        </w:rPr>
        <w:t>as</w:t>
      </w:r>
      <w:r w:rsidR="00B85ADD">
        <w:rPr>
          <w:rFonts w:ascii="Times" w:hAnsi="Times" w:cs="Helvetica"/>
          <w:sz w:val="24"/>
          <w:szCs w:val="24"/>
        </w:rPr>
        <w:t xml:space="preserve"> evident</w:t>
      </w:r>
      <w:r w:rsidR="00BA6EF0" w:rsidRPr="00B24740">
        <w:rPr>
          <w:rStyle w:val="FootnoteReference"/>
          <w:rFonts w:ascii="Times" w:hAnsi="Times" w:cs="Helvetica"/>
          <w:sz w:val="24"/>
          <w:szCs w:val="24"/>
        </w:rPr>
        <w:footnoteReference w:id="41"/>
      </w:r>
      <w:r w:rsidR="00BA6EF0" w:rsidRPr="00B24740">
        <w:rPr>
          <w:rFonts w:ascii="Times" w:hAnsi="Times" w:cs="Helvetica"/>
          <w:sz w:val="24"/>
          <w:szCs w:val="24"/>
        </w:rPr>
        <w:t xml:space="preserve">. </w:t>
      </w:r>
      <w:r w:rsidR="004E3BED" w:rsidRPr="00B24740">
        <w:rPr>
          <w:rFonts w:ascii="Times" w:hAnsi="Times" w:cs="Helvetica"/>
          <w:sz w:val="24"/>
          <w:szCs w:val="24"/>
        </w:rPr>
        <w:t xml:space="preserve">While Thompson argues that </w:t>
      </w:r>
      <w:r w:rsidR="009F6D98" w:rsidRPr="00B24740">
        <w:rPr>
          <w:rFonts w:ascii="Times" w:hAnsi="Times" w:cs="Helvetica"/>
          <w:sz w:val="24"/>
          <w:szCs w:val="24"/>
        </w:rPr>
        <w:t xml:space="preserve">such provisions actually help </w:t>
      </w:r>
      <w:proofErr w:type="spellStart"/>
      <w:r w:rsidR="009F6D98" w:rsidRPr="00B24740">
        <w:rPr>
          <w:rFonts w:ascii="Times" w:hAnsi="Times" w:cs="Helvetica"/>
          <w:sz w:val="24"/>
          <w:szCs w:val="24"/>
        </w:rPr>
        <w:t>disponees</w:t>
      </w:r>
      <w:proofErr w:type="spellEnd"/>
      <w:r w:rsidR="000A7CB7" w:rsidRPr="00B24740">
        <w:rPr>
          <w:rStyle w:val="FootnoteReference"/>
          <w:rFonts w:ascii="Times" w:hAnsi="Times" w:cs="Helvetica"/>
          <w:sz w:val="24"/>
          <w:szCs w:val="24"/>
        </w:rPr>
        <w:footnoteReference w:id="42"/>
      </w:r>
      <w:r w:rsidR="000A7CB7" w:rsidRPr="00B24740">
        <w:rPr>
          <w:rFonts w:ascii="Times" w:hAnsi="Times" w:cs="Helvetica"/>
          <w:sz w:val="24"/>
          <w:szCs w:val="24"/>
        </w:rPr>
        <w:t xml:space="preserve">, Jackson </w:t>
      </w:r>
      <w:r w:rsidR="00E742ED">
        <w:rPr>
          <w:rFonts w:ascii="Times" w:hAnsi="Times" w:cs="Helvetica"/>
          <w:sz w:val="24"/>
          <w:szCs w:val="24"/>
        </w:rPr>
        <w:t>suggested</w:t>
      </w:r>
      <w:r w:rsidR="00B85ADD">
        <w:rPr>
          <w:rFonts w:ascii="Times" w:hAnsi="Times" w:cs="Helvetica"/>
          <w:sz w:val="24"/>
          <w:szCs w:val="24"/>
        </w:rPr>
        <w:t xml:space="preserve"> that</w:t>
      </w:r>
      <w:r w:rsidR="000A7CB7" w:rsidRPr="00B24740">
        <w:rPr>
          <w:rFonts w:ascii="Times" w:hAnsi="Times" w:cs="Helvetica"/>
          <w:sz w:val="24"/>
          <w:szCs w:val="24"/>
        </w:rPr>
        <w:t xml:space="preserve"> </w:t>
      </w:r>
      <w:r w:rsidR="009F6D98" w:rsidRPr="00B24740">
        <w:rPr>
          <w:rFonts w:ascii="Times" w:hAnsi="Times" w:cs="Helvetica"/>
          <w:sz w:val="24"/>
          <w:szCs w:val="24"/>
        </w:rPr>
        <w:t xml:space="preserve">such requirements </w:t>
      </w:r>
      <w:r w:rsidR="00E742ED">
        <w:rPr>
          <w:rFonts w:ascii="Times" w:hAnsi="Times" w:cs="Helvetica"/>
          <w:sz w:val="24"/>
          <w:szCs w:val="24"/>
        </w:rPr>
        <w:t>would</w:t>
      </w:r>
      <w:r w:rsidR="00B85ADD">
        <w:rPr>
          <w:rFonts w:ascii="Times" w:hAnsi="Times" w:cs="Helvetica"/>
          <w:sz w:val="24"/>
          <w:szCs w:val="24"/>
        </w:rPr>
        <w:t xml:space="preserve"> not make a difference</w:t>
      </w:r>
      <w:r w:rsidR="000A7CB7" w:rsidRPr="00B24740">
        <w:rPr>
          <w:rStyle w:val="FootnoteReference"/>
          <w:rFonts w:ascii="Times" w:hAnsi="Times" w:cs="Helvetica"/>
          <w:sz w:val="24"/>
          <w:szCs w:val="24"/>
        </w:rPr>
        <w:footnoteReference w:id="43"/>
      </w:r>
      <w:r w:rsidR="000A7CB7" w:rsidRPr="00B24740">
        <w:rPr>
          <w:rFonts w:ascii="Times" w:hAnsi="Times" w:cs="Helvetica"/>
          <w:sz w:val="24"/>
          <w:szCs w:val="24"/>
        </w:rPr>
        <w:t xml:space="preserve">.  </w:t>
      </w:r>
    </w:p>
    <w:p w14:paraId="6303DD21" w14:textId="71CC67E2" w:rsidR="00040E06" w:rsidRDefault="00B85ADD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  <w:r>
        <w:rPr>
          <w:rFonts w:ascii="Times" w:hAnsi="Times" w:cs="Helvetica"/>
          <w:sz w:val="24"/>
          <w:szCs w:val="24"/>
        </w:rPr>
        <w:t>However</w:t>
      </w:r>
      <w:r w:rsidR="009F6D98" w:rsidRPr="00B24740">
        <w:rPr>
          <w:rFonts w:ascii="Times" w:hAnsi="Times" w:cs="Helvetica"/>
          <w:sz w:val="24"/>
          <w:szCs w:val="24"/>
        </w:rPr>
        <w:t xml:space="preserve">, the </w:t>
      </w:r>
      <w:r w:rsidR="009F6D98" w:rsidRPr="0056718A">
        <w:rPr>
          <w:rFonts w:ascii="Times" w:hAnsi="Times" w:cs="Helvetica"/>
          <w:b/>
          <w:sz w:val="24"/>
          <w:szCs w:val="24"/>
          <w:u w:val="single"/>
        </w:rPr>
        <w:t>LRA 2002</w:t>
      </w:r>
      <w:r w:rsidR="007C11CF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44"/>
      </w:r>
      <w:r w:rsidR="009F6D98" w:rsidRPr="00B24740">
        <w:rPr>
          <w:rFonts w:ascii="Times" w:hAnsi="Times" w:cs="Helvetica"/>
          <w:sz w:val="24"/>
          <w:szCs w:val="24"/>
        </w:rPr>
        <w:t xml:space="preserve"> </w:t>
      </w:r>
      <w:r w:rsidR="0046154A">
        <w:rPr>
          <w:rFonts w:ascii="Times" w:hAnsi="Times" w:cs="Helvetica"/>
          <w:sz w:val="24"/>
          <w:szCs w:val="24"/>
        </w:rPr>
        <w:t>incentivize</w:t>
      </w:r>
      <w:r w:rsidR="00CE1574">
        <w:rPr>
          <w:rFonts w:ascii="Times" w:hAnsi="Times" w:cs="Helvetica"/>
          <w:sz w:val="24"/>
          <w:szCs w:val="24"/>
        </w:rPr>
        <w:t>s</w:t>
      </w:r>
      <w:r w:rsidR="009F6D98" w:rsidRPr="00B24740">
        <w:rPr>
          <w:rFonts w:ascii="Times" w:hAnsi="Times" w:cs="Helvetica"/>
          <w:sz w:val="24"/>
          <w:szCs w:val="24"/>
        </w:rPr>
        <w:t xml:space="preserve"> owners of unregistered</w:t>
      </w:r>
      <w:r>
        <w:rPr>
          <w:rFonts w:ascii="Times" w:hAnsi="Times" w:cs="Helvetica"/>
          <w:sz w:val="24"/>
          <w:szCs w:val="24"/>
        </w:rPr>
        <w:t xml:space="preserve"> titles</w:t>
      </w:r>
      <w:r w:rsidR="009F6D98" w:rsidRPr="00B24740">
        <w:rPr>
          <w:rFonts w:ascii="Times" w:hAnsi="Times" w:cs="Helvetica"/>
          <w:sz w:val="24"/>
          <w:szCs w:val="24"/>
        </w:rPr>
        <w:t xml:space="preserve"> to register </w:t>
      </w:r>
      <w:r>
        <w:rPr>
          <w:rFonts w:ascii="Times" w:hAnsi="Times" w:cs="Helvetica"/>
          <w:sz w:val="24"/>
          <w:szCs w:val="24"/>
        </w:rPr>
        <w:t xml:space="preserve">them. Equally, it </w:t>
      </w:r>
      <w:r w:rsidR="00461D6E" w:rsidRPr="00461D6E">
        <w:rPr>
          <w:rFonts w:ascii="Times" w:hAnsi="Times" w:cs="Helvetica"/>
          <w:sz w:val="24"/>
          <w:szCs w:val="24"/>
        </w:rPr>
        <w:t>tightens</w:t>
      </w:r>
      <w:r w:rsidR="009F6D98" w:rsidRPr="00B24740">
        <w:rPr>
          <w:rFonts w:ascii="Times" w:hAnsi="Times" w:cs="Helvetica"/>
          <w:sz w:val="24"/>
          <w:szCs w:val="24"/>
        </w:rPr>
        <w:t xml:space="preserve"> </w:t>
      </w:r>
      <w:r>
        <w:rPr>
          <w:rFonts w:ascii="Times" w:hAnsi="Times" w:cs="Helvetica"/>
          <w:sz w:val="24"/>
          <w:szCs w:val="24"/>
        </w:rPr>
        <w:t xml:space="preserve">the </w:t>
      </w:r>
      <w:r w:rsidR="009F6D98" w:rsidRPr="00B24740">
        <w:rPr>
          <w:rFonts w:ascii="Times" w:hAnsi="Times" w:cs="Helvetica"/>
          <w:sz w:val="24"/>
          <w:szCs w:val="24"/>
        </w:rPr>
        <w:t>requirements for registration.</w:t>
      </w:r>
      <w:r w:rsidR="00CE1574">
        <w:rPr>
          <w:rFonts w:ascii="Times" w:hAnsi="Times" w:cs="Helvetica"/>
          <w:sz w:val="24"/>
          <w:szCs w:val="24"/>
        </w:rPr>
        <w:t xml:space="preserve"> For example</w:t>
      </w:r>
      <w:r w:rsidR="00E83C25" w:rsidRPr="00B24740">
        <w:rPr>
          <w:rFonts w:ascii="Times" w:hAnsi="Times" w:cs="Helvetica"/>
          <w:sz w:val="24"/>
          <w:szCs w:val="24"/>
        </w:rPr>
        <w:t>, if land that ought to be registered is not registered</w:t>
      </w:r>
      <w:r w:rsidR="009F6D98" w:rsidRPr="00B24740">
        <w:rPr>
          <w:rFonts w:ascii="Times" w:hAnsi="Times" w:cs="Helvetica"/>
          <w:sz w:val="24"/>
          <w:szCs w:val="24"/>
        </w:rPr>
        <w:t xml:space="preserve"> correctly,</w:t>
      </w:r>
      <w:r w:rsidR="00E83C25" w:rsidRPr="00B24740">
        <w:rPr>
          <w:rFonts w:ascii="Times" w:hAnsi="Times" w:cs="Helvetica"/>
          <w:sz w:val="24"/>
          <w:szCs w:val="24"/>
        </w:rPr>
        <w:t xml:space="preserve"> the transfer becomes void</w:t>
      </w:r>
      <w:r w:rsidR="00E83C25" w:rsidRPr="00B24740">
        <w:rPr>
          <w:rStyle w:val="FootnoteReference"/>
          <w:rFonts w:ascii="Times" w:hAnsi="Times" w:cs="Helvetica"/>
          <w:sz w:val="24"/>
          <w:szCs w:val="24"/>
        </w:rPr>
        <w:footnoteReference w:id="45"/>
      </w:r>
      <w:r w:rsidR="00E83C25" w:rsidRPr="00B24740">
        <w:rPr>
          <w:rFonts w:ascii="Times" w:hAnsi="Times" w:cs="Helvetica"/>
          <w:sz w:val="24"/>
          <w:szCs w:val="24"/>
        </w:rPr>
        <w:t xml:space="preserve">.  </w:t>
      </w:r>
      <w:r w:rsidR="00CE1574">
        <w:rPr>
          <w:rFonts w:ascii="Times" w:hAnsi="Times" w:cs="Helvetica"/>
          <w:sz w:val="24"/>
          <w:szCs w:val="24"/>
        </w:rPr>
        <w:t>Furthermore,</w:t>
      </w:r>
      <w:r w:rsidR="00870C50" w:rsidRPr="00B24740">
        <w:rPr>
          <w:rFonts w:ascii="Times" w:hAnsi="Times" w:cs="Helvetica"/>
          <w:sz w:val="24"/>
          <w:szCs w:val="24"/>
        </w:rPr>
        <w:t xml:space="preserve"> the register has become the largest in Europe and has enhanced the economy</w:t>
      </w:r>
      <w:r w:rsidR="00040E06" w:rsidRPr="00B24740">
        <w:rPr>
          <w:rFonts w:ascii="Times" w:hAnsi="Times" w:cs="Helvetica"/>
          <w:sz w:val="24"/>
          <w:szCs w:val="24"/>
        </w:rPr>
        <w:t xml:space="preserve"> in that it </w:t>
      </w:r>
      <w:r w:rsidR="00870C50" w:rsidRPr="00B24740">
        <w:rPr>
          <w:rFonts w:ascii="Times" w:hAnsi="Times" w:cs="Helvetica"/>
          <w:sz w:val="24"/>
          <w:szCs w:val="24"/>
        </w:rPr>
        <w:t>provides a source of data and income</w:t>
      </w:r>
      <w:r w:rsidR="00870C50" w:rsidRPr="00B24740">
        <w:rPr>
          <w:rStyle w:val="FootnoteReference"/>
          <w:rFonts w:ascii="Times" w:hAnsi="Times" w:cs="Helvetica"/>
          <w:sz w:val="24"/>
          <w:szCs w:val="24"/>
        </w:rPr>
        <w:footnoteReference w:id="46"/>
      </w:r>
      <w:r w:rsidR="00870C50" w:rsidRPr="00B24740">
        <w:rPr>
          <w:rFonts w:ascii="Times" w:hAnsi="Times" w:cs="Helvetica"/>
          <w:sz w:val="24"/>
          <w:szCs w:val="24"/>
        </w:rPr>
        <w:t xml:space="preserve">. </w:t>
      </w:r>
    </w:p>
    <w:p w14:paraId="2261EA8A" w14:textId="77777777" w:rsidR="00B85ADD" w:rsidRPr="00B24740" w:rsidRDefault="00B85ADD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</w:p>
    <w:p w14:paraId="6F171A6E" w14:textId="031350F3" w:rsidR="00AF1EE4" w:rsidRDefault="00870C50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4"/>
          <w:szCs w:val="24"/>
        </w:rPr>
      </w:pPr>
      <w:r w:rsidRPr="00B24740">
        <w:rPr>
          <w:rFonts w:ascii="Times" w:hAnsi="Times" w:cs="Helvetica"/>
          <w:sz w:val="24"/>
          <w:szCs w:val="24"/>
        </w:rPr>
        <w:t xml:space="preserve">To conclude, it seems reasonable to contend that </w:t>
      </w:r>
      <w:r w:rsidR="00040E06" w:rsidRPr="00B24740">
        <w:rPr>
          <w:rFonts w:ascii="Times" w:hAnsi="Times" w:cs="Helvetica"/>
          <w:sz w:val="24"/>
          <w:szCs w:val="24"/>
        </w:rPr>
        <w:t xml:space="preserve">the </w:t>
      </w:r>
      <w:r w:rsidR="00040E06" w:rsidRPr="00832AA3">
        <w:rPr>
          <w:rFonts w:ascii="Times" w:hAnsi="Times" w:cs="Helvetica"/>
          <w:b/>
          <w:sz w:val="24"/>
          <w:szCs w:val="24"/>
          <w:u w:val="single"/>
        </w:rPr>
        <w:t>LRA 2002</w:t>
      </w:r>
      <w:r w:rsidR="00671849">
        <w:rPr>
          <w:rStyle w:val="FootnoteReference"/>
          <w:rFonts w:ascii="Times" w:hAnsi="Times" w:cs="Helvetica"/>
          <w:b/>
          <w:sz w:val="24"/>
          <w:szCs w:val="24"/>
          <w:u w:val="single"/>
        </w:rPr>
        <w:footnoteReference w:id="47"/>
      </w:r>
      <w:r w:rsidR="00040E06" w:rsidRPr="00B24740">
        <w:rPr>
          <w:rFonts w:ascii="Times" w:hAnsi="Times" w:cs="Helvetica"/>
          <w:sz w:val="24"/>
          <w:szCs w:val="24"/>
        </w:rPr>
        <w:t xml:space="preserve"> has been </w:t>
      </w:r>
      <w:r w:rsidRPr="00B24740">
        <w:rPr>
          <w:rFonts w:ascii="Times" w:hAnsi="Times" w:cs="Helvetica"/>
          <w:sz w:val="24"/>
          <w:szCs w:val="24"/>
        </w:rPr>
        <w:t>successful in reducing the scope of overriding interests</w:t>
      </w:r>
      <w:r w:rsidR="00832AA3">
        <w:rPr>
          <w:rFonts w:ascii="Times" w:hAnsi="Times" w:cs="Helvetica"/>
          <w:sz w:val="24"/>
          <w:szCs w:val="24"/>
        </w:rPr>
        <w:t>,</w:t>
      </w:r>
      <w:r w:rsidRPr="00B24740">
        <w:rPr>
          <w:rStyle w:val="FootnoteReference"/>
          <w:rFonts w:ascii="Times" w:hAnsi="Times" w:cs="Helvetica"/>
          <w:sz w:val="24"/>
          <w:szCs w:val="24"/>
        </w:rPr>
        <w:footnoteReference w:id="48"/>
      </w:r>
      <w:r w:rsidRPr="00B24740">
        <w:rPr>
          <w:rFonts w:ascii="Times" w:hAnsi="Times" w:cs="Helvetica"/>
          <w:sz w:val="24"/>
          <w:szCs w:val="24"/>
        </w:rPr>
        <w:t xml:space="preserve"> </w:t>
      </w:r>
      <w:r w:rsidR="00B85ADD">
        <w:rPr>
          <w:rFonts w:ascii="Times" w:hAnsi="Times" w:cs="Helvetica"/>
          <w:sz w:val="24"/>
          <w:szCs w:val="24"/>
        </w:rPr>
        <w:t>therefore making</w:t>
      </w:r>
      <w:r w:rsidR="00F1051A" w:rsidRPr="00B24740">
        <w:rPr>
          <w:rFonts w:ascii="Times" w:hAnsi="Times" w:cs="Helvetica"/>
          <w:sz w:val="24"/>
          <w:szCs w:val="24"/>
        </w:rPr>
        <w:t xml:space="preserve"> the reflection of the mirror more accurate</w:t>
      </w:r>
      <w:r w:rsidR="00CB2751">
        <w:rPr>
          <w:rStyle w:val="FootnoteReference"/>
          <w:rFonts w:ascii="Times" w:hAnsi="Times" w:cs="Helvetica"/>
          <w:sz w:val="24"/>
          <w:szCs w:val="24"/>
        </w:rPr>
        <w:footnoteReference w:id="49"/>
      </w:r>
      <w:r w:rsidR="00F1051A" w:rsidRPr="00B24740">
        <w:rPr>
          <w:rFonts w:ascii="Times" w:hAnsi="Times" w:cs="Helvetica"/>
          <w:sz w:val="24"/>
          <w:szCs w:val="24"/>
        </w:rPr>
        <w:t xml:space="preserve">, particularly </w:t>
      </w:r>
      <w:r w:rsidR="00FD529B">
        <w:rPr>
          <w:rFonts w:ascii="Times" w:hAnsi="Times" w:cs="Helvetica"/>
          <w:sz w:val="24"/>
          <w:szCs w:val="24"/>
        </w:rPr>
        <w:t xml:space="preserve">if </w:t>
      </w:r>
      <w:r w:rsidR="00F1051A" w:rsidRPr="00B24740">
        <w:rPr>
          <w:rFonts w:ascii="Times" w:hAnsi="Times" w:cs="Helvetica"/>
          <w:sz w:val="24"/>
          <w:szCs w:val="24"/>
        </w:rPr>
        <w:t xml:space="preserve">compared with </w:t>
      </w:r>
      <w:r w:rsidR="00F1051A" w:rsidRPr="007D4DA3">
        <w:rPr>
          <w:rFonts w:ascii="Times" w:hAnsi="Times" w:cs="Helvetica"/>
          <w:b/>
          <w:sz w:val="24"/>
          <w:szCs w:val="24"/>
          <w:u w:val="single"/>
        </w:rPr>
        <w:t>1925 Act</w:t>
      </w:r>
      <w:r w:rsidR="00F1051A" w:rsidRPr="00B24740">
        <w:rPr>
          <w:rStyle w:val="FootnoteReference"/>
          <w:rFonts w:ascii="Times" w:hAnsi="Times" w:cs="Helvetica"/>
          <w:sz w:val="24"/>
          <w:szCs w:val="24"/>
        </w:rPr>
        <w:footnoteReference w:id="50"/>
      </w:r>
      <w:r w:rsidR="00F1051A" w:rsidRPr="00B24740">
        <w:rPr>
          <w:rFonts w:ascii="Times" w:hAnsi="Times" w:cs="Helvetica"/>
          <w:sz w:val="24"/>
          <w:szCs w:val="24"/>
        </w:rPr>
        <w:t xml:space="preserve">. Yet, </w:t>
      </w:r>
      <w:r w:rsidR="00EA0CB1">
        <w:rPr>
          <w:rFonts w:ascii="Times" w:hAnsi="Times" w:cs="Helvetica"/>
          <w:sz w:val="24"/>
          <w:szCs w:val="24"/>
        </w:rPr>
        <w:t xml:space="preserve">the essay propounds that </w:t>
      </w:r>
      <w:r w:rsidR="00FD529B">
        <w:rPr>
          <w:rFonts w:ascii="Times" w:hAnsi="Times" w:cs="Helvetica"/>
          <w:sz w:val="24"/>
          <w:szCs w:val="24"/>
        </w:rPr>
        <w:t>some issues remain</w:t>
      </w:r>
      <w:r w:rsidR="00CE1574">
        <w:rPr>
          <w:rFonts w:ascii="Times" w:hAnsi="Times" w:cs="Helvetica"/>
          <w:sz w:val="24"/>
          <w:szCs w:val="24"/>
        </w:rPr>
        <w:t xml:space="preserve">. </w:t>
      </w:r>
      <w:r w:rsidR="00EA0CB1">
        <w:rPr>
          <w:rFonts w:ascii="Times" w:hAnsi="Times" w:cs="Helvetica"/>
          <w:sz w:val="24"/>
          <w:szCs w:val="24"/>
        </w:rPr>
        <w:t xml:space="preserve">Indeed, </w:t>
      </w:r>
      <w:r w:rsidR="00EA0CB1" w:rsidRPr="00B24740">
        <w:rPr>
          <w:rFonts w:ascii="Times" w:hAnsi="Times" w:cs="Helvetica"/>
          <w:sz w:val="24"/>
          <w:szCs w:val="24"/>
        </w:rPr>
        <w:t xml:space="preserve">the </w:t>
      </w:r>
      <w:r w:rsidR="00EA0CB1">
        <w:rPr>
          <w:rFonts w:ascii="Times" w:hAnsi="Times" w:cs="Helvetica"/>
          <w:sz w:val="24"/>
          <w:szCs w:val="24"/>
        </w:rPr>
        <w:t xml:space="preserve">existence </w:t>
      </w:r>
      <w:r w:rsidR="00EA0CB1" w:rsidRPr="00B24740">
        <w:rPr>
          <w:rFonts w:ascii="Times" w:hAnsi="Times" w:cs="Helvetica"/>
          <w:sz w:val="24"/>
          <w:szCs w:val="24"/>
        </w:rPr>
        <w:t xml:space="preserve">of overriding </w:t>
      </w:r>
      <w:r w:rsidR="00EA0CB1">
        <w:rPr>
          <w:rFonts w:ascii="Times" w:hAnsi="Times" w:cs="Helvetica"/>
          <w:sz w:val="24"/>
          <w:szCs w:val="24"/>
        </w:rPr>
        <w:t>interests -though</w:t>
      </w:r>
      <w:r w:rsidR="00EA0CB1" w:rsidRPr="00B24740">
        <w:rPr>
          <w:rFonts w:ascii="Times" w:hAnsi="Times" w:cs="Helvetica"/>
          <w:sz w:val="24"/>
          <w:szCs w:val="24"/>
        </w:rPr>
        <w:t xml:space="preserve"> </w:t>
      </w:r>
      <w:r w:rsidR="00EA0CB1">
        <w:rPr>
          <w:rFonts w:ascii="Times" w:hAnsi="Times" w:cs="Helvetica"/>
          <w:sz w:val="24"/>
          <w:szCs w:val="24"/>
        </w:rPr>
        <w:t>it appears to</w:t>
      </w:r>
      <w:r w:rsidR="00EA0CB1" w:rsidRPr="00B24740">
        <w:rPr>
          <w:rFonts w:ascii="Times" w:hAnsi="Times" w:cs="Helvetica"/>
          <w:sz w:val="24"/>
          <w:szCs w:val="24"/>
        </w:rPr>
        <w:t xml:space="preserve"> </w:t>
      </w:r>
      <w:r w:rsidR="00461D6E">
        <w:rPr>
          <w:rFonts w:ascii="Times" w:hAnsi="Times" w:cs="Helvetica"/>
          <w:sz w:val="24"/>
          <w:szCs w:val="24"/>
        </w:rPr>
        <w:t xml:space="preserve">be </w:t>
      </w:r>
      <w:r w:rsidR="00EA0CB1" w:rsidRPr="00B24740">
        <w:rPr>
          <w:rFonts w:ascii="Times" w:hAnsi="Times" w:cs="Helvetica"/>
          <w:sz w:val="24"/>
          <w:szCs w:val="24"/>
        </w:rPr>
        <w:t>a necessary evil</w:t>
      </w:r>
      <w:r w:rsidR="00EA0CB1">
        <w:rPr>
          <w:rFonts w:ascii="Times" w:hAnsi="Times" w:cs="Helvetica"/>
          <w:sz w:val="24"/>
          <w:szCs w:val="24"/>
        </w:rPr>
        <w:t xml:space="preserve">- and </w:t>
      </w:r>
      <w:r w:rsidR="00FD529B">
        <w:rPr>
          <w:rFonts w:ascii="Times" w:hAnsi="Times" w:cs="Helvetica"/>
          <w:sz w:val="24"/>
          <w:szCs w:val="24"/>
        </w:rPr>
        <w:t xml:space="preserve">the lack of </w:t>
      </w:r>
      <w:r w:rsidR="00F1051A" w:rsidRPr="00B24740">
        <w:rPr>
          <w:rFonts w:ascii="Times" w:hAnsi="Times" w:cs="Helvetica"/>
          <w:sz w:val="24"/>
          <w:szCs w:val="24"/>
        </w:rPr>
        <w:t>clarity</w:t>
      </w:r>
      <w:r w:rsidR="00FD529B">
        <w:rPr>
          <w:rStyle w:val="FootnoteReference"/>
          <w:rFonts w:ascii="Times" w:hAnsi="Times" w:cs="Helvetica"/>
          <w:sz w:val="24"/>
          <w:szCs w:val="24"/>
        </w:rPr>
        <w:footnoteReference w:id="51"/>
      </w:r>
      <w:r w:rsidR="00F1051A" w:rsidRPr="00B24740">
        <w:rPr>
          <w:rFonts w:ascii="Times" w:hAnsi="Times" w:cs="Helvetica"/>
          <w:sz w:val="24"/>
          <w:szCs w:val="24"/>
        </w:rPr>
        <w:t xml:space="preserve"> </w:t>
      </w:r>
      <w:r w:rsidR="00EA0CB1">
        <w:rPr>
          <w:rFonts w:ascii="Times" w:hAnsi="Times" w:cs="Helvetica"/>
          <w:sz w:val="24"/>
          <w:szCs w:val="24"/>
        </w:rPr>
        <w:t xml:space="preserve">suggest </w:t>
      </w:r>
      <w:r w:rsidR="00F1051A" w:rsidRPr="00B24740">
        <w:rPr>
          <w:rFonts w:ascii="Times" w:hAnsi="Times" w:cs="Helvetica"/>
          <w:sz w:val="24"/>
          <w:szCs w:val="24"/>
        </w:rPr>
        <w:t xml:space="preserve">that the crack </w:t>
      </w:r>
      <w:r w:rsidR="00FD529B">
        <w:rPr>
          <w:rFonts w:ascii="Times" w:hAnsi="Times" w:cs="Helvetica"/>
          <w:sz w:val="24"/>
          <w:szCs w:val="24"/>
        </w:rPr>
        <w:t>still exists</w:t>
      </w:r>
      <w:r w:rsidR="00F1051A" w:rsidRPr="00B24740">
        <w:rPr>
          <w:rFonts w:ascii="Times" w:hAnsi="Times" w:cs="Helvetica"/>
          <w:sz w:val="24"/>
          <w:szCs w:val="24"/>
        </w:rPr>
        <w:t>. The question as to whether total registration is a possible goal</w:t>
      </w:r>
      <w:r w:rsidR="00F1051A" w:rsidRPr="00B24740">
        <w:rPr>
          <w:rStyle w:val="FootnoteReference"/>
          <w:rFonts w:ascii="Times" w:hAnsi="Times" w:cs="Helvetica"/>
          <w:sz w:val="24"/>
          <w:szCs w:val="24"/>
        </w:rPr>
        <w:footnoteReference w:id="52"/>
      </w:r>
      <w:r w:rsidR="00F1051A" w:rsidRPr="00B24740">
        <w:rPr>
          <w:rFonts w:ascii="Times" w:hAnsi="Times" w:cs="Helvetica"/>
          <w:sz w:val="24"/>
          <w:szCs w:val="24"/>
        </w:rPr>
        <w:t xml:space="preserve"> or mere utopia appears yet to be resolved. </w:t>
      </w:r>
    </w:p>
    <w:p w14:paraId="25818CDD" w14:textId="1451C44B" w:rsidR="008570B1" w:rsidRDefault="008570B1" w:rsidP="00F01D60">
      <w:pPr>
        <w:autoSpaceDE w:val="0"/>
        <w:autoSpaceDN w:val="0"/>
        <w:adjustRightInd w:val="0"/>
        <w:spacing w:after="0" w:line="480" w:lineRule="auto"/>
        <w:jc w:val="center"/>
        <w:rPr>
          <w:rFonts w:ascii="Times" w:hAnsi="Times" w:cs="Helvetica"/>
          <w:sz w:val="24"/>
          <w:szCs w:val="24"/>
        </w:rPr>
      </w:pPr>
      <w:r>
        <w:rPr>
          <w:rFonts w:ascii="Times" w:hAnsi="Times" w:cs="Helvetica"/>
          <w:sz w:val="24"/>
          <w:szCs w:val="24"/>
        </w:rPr>
        <w:br w:type="page"/>
      </w:r>
    </w:p>
    <w:p w14:paraId="3ADFE401" w14:textId="7F0DF37F" w:rsidR="00BF7AF6" w:rsidRDefault="00BF7AF6" w:rsidP="008570B1">
      <w:pPr>
        <w:autoSpaceDE w:val="0"/>
        <w:autoSpaceDN w:val="0"/>
        <w:adjustRightInd w:val="0"/>
        <w:spacing w:after="0" w:line="480" w:lineRule="auto"/>
        <w:jc w:val="center"/>
        <w:rPr>
          <w:rFonts w:ascii="Times" w:hAnsi="Times" w:cs="Helvetica"/>
          <w:sz w:val="32"/>
          <w:szCs w:val="32"/>
        </w:rPr>
      </w:pPr>
      <w:r w:rsidRPr="00F01D60">
        <w:rPr>
          <w:rFonts w:ascii="Times" w:hAnsi="Times" w:cs="Helvetica"/>
          <w:sz w:val="32"/>
          <w:szCs w:val="32"/>
        </w:rPr>
        <w:t>Bibliography:</w:t>
      </w:r>
    </w:p>
    <w:p w14:paraId="4F497F32" w14:textId="77777777" w:rsidR="009148A7" w:rsidRDefault="009148A7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b/>
          <w:sz w:val="28"/>
          <w:szCs w:val="28"/>
        </w:rPr>
      </w:pPr>
    </w:p>
    <w:p w14:paraId="2DB5C434" w14:textId="3134BD28" w:rsidR="009148A7" w:rsidRPr="009148A7" w:rsidRDefault="00F01D60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b/>
          <w:sz w:val="28"/>
          <w:szCs w:val="28"/>
        </w:rPr>
      </w:pPr>
      <w:r w:rsidRPr="00F01D60">
        <w:rPr>
          <w:rFonts w:ascii="Times" w:hAnsi="Times" w:cs="Helvetica"/>
          <w:b/>
          <w:sz w:val="28"/>
          <w:szCs w:val="28"/>
        </w:rPr>
        <w:t>Primary sources:</w:t>
      </w:r>
    </w:p>
    <w:p w14:paraId="2C349574" w14:textId="1E90B934" w:rsidR="00F01D60" w:rsidRDefault="00F01D60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sz w:val="28"/>
          <w:szCs w:val="28"/>
        </w:rPr>
      </w:pPr>
      <w:r>
        <w:rPr>
          <w:rFonts w:ascii="Times" w:hAnsi="Times" w:cs="Helvetica"/>
          <w:sz w:val="28"/>
          <w:szCs w:val="28"/>
        </w:rPr>
        <w:t>Legislation:</w:t>
      </w:r>
    </w:p>
    <w:p w14:paraId="377ED4AD" w14:textId="224F423F" w:rsidR="00036348" w:rsidRDefault="00036348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b/>
          <w:sz w:val="24"/>
          <w:szCs w:val="24"/>
          <w:u w:val="single"/>
        </w:rPr>
      </w:pPr>
      <w:r w:rsidRPr="00036348">
        <w:rPr>
          <w:rFonts w:ascii="Times" w:hAnsi="Times" w:cs="Helvetica"/>
          <w:b/>
          <w:sz w:val="24"/>
          <w:szCs w:val="24"/>
          <w:u w:val="single"/>
        </w:rPr>
        <w:t>Land Transfer act 1875</w:t>
      </w:r>
    </w:p>
    <w:p w14:paraId="6689E7F7" w14:textId="77777777" w:rsidR="00CB4B51" w:rsidRPr="00036348" w:rsidRDefault="00CB4B51" w:rsidP="00CB4B51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b/>
          <w:sz w:val="24"/>
          <w:szCs w:val="24"/>
          <w:u w:val="single"/>
        </w:rPr>
      </w:pPr>
      <w:r w:rsidRPr="00036348">
        <w:rPr>
          <w:rFonts w:ascii="Times" w:hAnsi="Times" w:cs="Helvetica"/>
          <w:b/>
          <w:sz w:val="24"/>
          <w:szCs w:val="24"/>
          <w:u w:val="single"/>
        </w:rPr>
        <w:t>Land Transfer Act 1897</w:t>
      </w:r>
    </w:p>
    <w:p w14:paraId="6A1C9B97" w14:textId="4695CDFF" w:rsidR="00CB4B51" w:rsidRDefault="00CB4B51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b/>
          <w:sz w:val="24"/>
          <w:szCs w:val="24"/>
          <w:u w:val="single"/>
        </w:rPr>
      </w:pPr>
      <w:r>
        <w:rPr>
          <w:rFonts w:ascii="Times" w:hAnsi="Times" w:cs="Helvetica"/>
          <w:b/>
          <w:sz w:val="24"/>
          <w:szCs w:val="24"/>
          <w:u w:val="single"/>
        </w:rPr>
        <w:t>Land Registration Act 1925</w:t>
      </w:r>
    </w:p>
    <w:p w14:paraId="02D7B698" w14:textId="7C0C7817" w:rsidR="00CB4B51" w:rsidRDefault="00CB4B51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b/>
          <w:sz w:val="24"/>
          <w:szCs w:val="24"/>
          <w:u w:val="single"/>
        </w:rPr>
      </w:pPr>
      <w:r w:rsidRPr="00036348">
        <w:rPr>
          <w:rFonts w:ascii="Times" w:hAnsi="Times" w:cs="Helvetica"/>
          <w:b/>
          <w:sz w:val="24"/>
          <w:szCs w:val="24"/>
          <w:u w:val="single"/>
        </w:rPr>
        <w:t>Land Registration Act 2002</w:t>
      </w:r>
    </w:p>
    <w:p w14:paraId="0E5576FB" w14:textId="779536D1" w:rsidR="00CB4B51" w:rsidRDefault="00CB4B51" w:rsidP="00CB4B5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Verdana"/>
          <w:b/>
          <w:bCs/>
          <w:sz w:val="24"/>
          <w:szCs w:val="24"/>
          <w:u w:val="single"/>
          <w:lang w:val="en-US"/>
        </w:rPr>
      </w:pPr>
      <w:r>
        <w:rPr>
          <w:rFonts w:ascii="Times" w:eastAsiaTheme="minorEastAsia" w:hAnsi="Times" w:cs="Verdana"/>
          <w:b/>
          <w:bCs/>
          <w:sz w:val="24"/>
          <w:szCs w:val="24"/>
          <w:u w:val="single"/>
          <w:lang w:val="en-US"/>
        </w:rPr>
        <w:t>Law Commission (2001) paper 271: “</w:t>
      </w:r>
      <w:r w:rsidRPr="00CB4B51">
        <w:rPr>
          <w:rFonts w:ascii="Times" w:eastAsiaTheme="minorEastAsia" w:hAnsi="Times" w:cs="Verdana"/>
          <w:b/>
          <w:bCs/>
          <w:sz w:val="24"/>
          <w:szCs w:val="24"/>
          <w:u w:val="single"/>
          <w:lang w:val="en-US"/>
        </w:rPr>
        <w:t xml:space="preserve">Land Registration for the 21st Century: A </w:t>
      </w:r>
      <w:proofErr w:type="spellStart"/>
      <w:r w:rsidRPr="00CB4B51">
        <w:rPr>
          <w:rFonts w:ascii="Times" w:eastAsiaTheme="minorEastAsia" w:hAnsi="Times" w:cs="Verdana"/>
          <w:b/>
          <w:bCs/>
          <w:sz w:val="24"/>
          <w:szCs w:val="24"/>
          <w:u w:val="single"/>
          <w:lang w:val="en-US"/>
        </w:rPr>
        <w:t>Conveyancing</w:t>
      </w:r>
      <w:proofErr w:type="spellEnd"/>
      <w:r w:rsidRPr="00CB4B51">
        <w:rPr>
          <w:rFonts w:ascii="Times" w:eastAsiaTheme="minorEastAsia" w:hAnsi="Times" w:cs="Verdana"/>
          <w:b/>
          <w:bCs/>
          <w:sz w:val="24"/>
          <w:szCs w:val="24"/>
          <w:u w:val="single"/>
          <w:lang w:val="en-US"/>
        </w:rPr>
        <w:t xml:space="preserve"> Revolution</w:t>
      </w:r>
      <w:r>
        <w:rPr>
          <w:rFonts w:ascii="Times" w:eastAsiaTheme="minorEastAsia" w:hAnsi="Times" w:cs="Verdana"/>
          <w:b/>
          <w:bCs/>
          <w:sz w:val="24"/>
          <w:szCs w:val="24"/>
          <w:u w:val="single"/>
          <w:lang w:val="en-US"/>
        </w:rPr>
        <w:t>”</w:t>
      </w:r>
    </w:p>
    <w:p w14:paraId="0161992F" w14:textId="77777777" w:rsidR="00CB4B51" w:rsidRDefault="00CB4B51" w:rsidP="00CB4B5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Verdana"/>
          <w:b/>
          <w:bCs/>
          <w:sz w:val="24"/>
          <w:szCs w:val="24"/>
          <w:u w:val="single"/>
          <w:lang w:val="en-US"/>
        </w:rPr>
      </w:pPr>
    </w:p>
    <w:p w14:paraId="0567FD00" w14:textId="3EC4DC90" w:rsidR="00CB4B51" w:rsidRPr="00CB4B51" w:rsidRDefault="00CB4B51" w:rsidP="00CB4B5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Verdana"/>
          <w:b/>
          <w:bCs/>
          <w:sz w:val="24"/>
          <w:szCs w:val="24"/>
          <w:u w:val="single"/>
          <w:lang w:val="en-US"/>
        </w:rPr>
      </w:pPr>
      <w:r>
        <w:rPr>
          <w:rFonts w:ascii="Times" w:eastAsiaTheme="minorEastAsia" w:hAnsi="Times" w:cs="Verdana"/>
          <w:b/>
          <w:bCs/>
          <w:sz w:val="24"/>
          <w:szCs w:val="24"/>
          <w:u w:val="single"/>
          <w:lang w:val="en-US"/>
        </w:rPr>
        <w:t>Law Commission (2001) paper (254)</w:t>
      </w:r>
    </w:p>
    <w:p w14:paraId="1753BD5D" w14:textId="77777777" w:rsidR="00CB4B51" w:rsidRPr="00CB4B51" w:rsidRDefault="00CB4B51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b/>
          <w:sz w:val="24"/>
          <w:szCs w:val="24"/>
          <w:u w:val="single"/>
        </w:rPr>
      </w:pPr>
    </w:p>
    <w:p w14:paraId="06CDC1CE" w14:textId="5FDADC41" w:rsidR="00F01D60" w:rsidRPr="00CB4B51" w:rsidRDefault="00F01D60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sz w:val="28"/>
          <w:szCs w:val="28"/>
        </w:rPr>
      </w:pPr>
      <w:r w:rsidRPr="00CB4B51">
        <w:rPr>
          <w:rFonts w:ascii="Times" w:hAnsi="Times" w:cs="Helvetica"/>
          <w:sz w:val="28"/>
          <w:szCs w:val="28"/>
        </w:rPr>
        <w:t>Cases:</w:t>
      </w:r>
    </w:p>
    <w:p w14:paraId="2F64C5C2" w14:textId="46DA75E5" w:rsidR="00916D68" w:rsidRPr="00916D68" w:rsidRDefault="00916D68" w:rsidP="00916D68">
      <w:pPr>
        <w:rPr>
          <w:rFonts w:ascii="Times" w:hAnsi="Times" w:cs="Helvetica"/>
          <w:sz w:val="24"/>
          <w:szCs w:val="24"/>
        </w:rPr>
      </w:pPr>
      <w:r w:rsidRPr="00916D68">
        <w:rPr>
          <w:rFonts w:ascii="Times" w:hAnsi="Times"/>
          <w:i/>
          <w:sz w:val="24"/>
          <w:szCs w:val="24"/>
          <w:lang w:val="en-US"/>
        </w:rPr>
        <w:t xml:space="preserve">Abbey National Building Society v </w:t>
      </w:r>
      <w:proofErr w:type="spellStart"/>
      <w:r w:rsidRPr="00916D68">
        <w:rPr>
          <w:rFonts w:ascii="Times" w:hAnsi="Times"/>
          <w:bCs/>
          <w:i/>
          <w:sz w:val="24"/>
          <w:szCs w:val="24"/>
          <w:lang w:val="en-US"/>
        </w:rPr>
        <w:t>Cann</w:t>
      </w:r>
      <w:proofErr w:type="spellEnd"/>
      <w:r w:rsidRPr="00916D68">
        <w:rPr>
          <w:rFonts w:ascii="Times" w:hAnsi="Times"/>
          <w:sz w:val="24"/>
          <w:szCs w:val="24"/>
          <w:lang w:val="en-US"/>
        </w:rPr>
        <w:t xml:space="preserve"> [1991] AC 56</w:t>
      </w:r>
    </w:p>
    <w:p w14:paraId="638AF5F1" w14:textId="2C51F67F" w:rsidR="00F01D60" w:rsidRDefault="00D93C09" w:rsidP="00D93C09">
      <w:pPr>
        <w:rPr>
          <w:rFonts w:ascii="Times" w:hAnsi="Times"/>
          <w:sz w:val="24"/>
          <w:szCs w:val="24"/>
          <w:lang w:val="en-US"/>
        </w:rPr>
      </w:pPr>
      <w:proofErr w:type="gramStart"/>
      <w:r w:rsidRPr="00D93C09">
        <w:rPr>
          <w:rFonts w:ascii="Times" w:hAnsi="Times"/>
          <w:bCs/>
          <w:i/>
          <w:sz w:val="24"/>
          <w:szCs w:val="24"/>
          <w:lang w:val="en-US"/>
        </w:rPr>
        <w:t>Fitzwilliam v Richall</w:t>
      </w:r>
      <w:r w:rsidRPr="00D93C09">
        <w:rPr>
          <w:rFonts w:ascii="Times" w:hAnsi="Times"/>
          <w:i/>
          <w:sz w:val="24"/>
          <w:szCs w:val="24"/>
          <w:lang w:val="en-US"/>
        </w:rPr>
        <w:t xml:space="preserve"> Holdings Services.</w:t>
      </w:r>
      <w:proofErr w:type="gramEnd"/>
      <w:r w:rsidRPr="00D93C09">
        <w:rPr>
          <w:rFonts w:ascii="Times" w:hAnsi="Times"/>
          <w:i/>
          <w:sz w:val="24"/>
          <w:szCs w:val="24"/>
          <w:lang w:val="en-US"/>
        </w:rPr>
        <w:t xml:space="preserve"> Ltd</w:t>
      </w:r>
      <w:r w:rsidR="00916D68">
        <w:rPr>
          <w:rFonts w:ascii="Times" w:hAnsi="Times"/>
          <w:sz w:val="24"/>
          <w:szCs w:val="24"/>
          <w:lang w:val="en-US"/>
        </w:rPr>
        <w:t xml:space="preserve"> [2013] EWHC 86 (</w:t>
      </w:r>
      <w:proofErr w:type="spellStart"/>
      <w:r w:rsidR="00916D68">
        <w:rPr>
          <w:rFonts w:ascii="Times" w:hAnsi="Times"/>
          <w:sz w:val="24"/>
          <w:szCs w:val="24"/>
          <w:lang w:val="en-US"/>
        </w:rPr>
        <w:t>Ch</w:t>
      </w:r>
      <w:proofErr w:type="spellEnd"/>
      <w:r w:rsidR="00916D68">
        <w:rPr>
          <w:rFonts w:ascii="Times" w:hAnsi="Times"/>
          <w:sz w:val="24"/>
          <w:szCs w:val="24"/>
          <w:lang w:val="en-US"/>
        </w:rPr>
        <w:t>)</w:t>
      </w:r>
    </w:p>
    <w:p w14:paraId="657749AA" w14:textId="05E69C62" w:rsidR="00916D68" w:rsidRDefault="00916D68" w:rsidP="00D93C09">
      <w:pPr>
        <w:rPr>
          <w:rFonts w:ascii="Times" w:hAnsi="Times"/>
          <w:sz w:val="24"/>
          <w:szCs w:val="24"/>
          <w:lang w:val="en-US"/>
        </w:rPr>
      </w:pPr>
      <w:r w:rsidRPr="00916D68">
        <w:rPr>
          <w:rFonts w:ascii="Times" w:hAnsi="Times"/>
          <w:bCs/>
          <w:i/>
          <w:sz w:val="24"/>
          <w:szCs w:val="24"/>
          <w:lang w:val="en-US"/>
        </w:rPr>
        <w:t>Lloyds</w:t>
      </w:r>
      <w:r w:rsidRPr="00916D68">
        <w:rPr>
          <w:rFonts w:ascii="Times" w:hAnsi="Times"/>
          <w:i/>
          <w:sz w:val="24"/>
          <w:szCs w:val="24"/>
          <w:lang w:val="en-US"/>
        </w:rPr>
        <w:t xml:space="preserve"> Bank </w:t>
      </w:r>
      <w:proofErr w:type="spellStart"/>
      <w:r w:rsidRPr="00916D68">
        <w:rPr>
          <w:rFonts w:ascii="Times" w:hAnsi="Times"/>
          <w:i/>
          <w:sz w:val="24"/>
          <w:szCs w:val="24"/>
          <w:lang w:val="en-US"/>
        </w:rPr>
        <w:t>plc</w:t>
      </w:r>
      <w:proofErr w:type="spellEnd"/>
      <w:r w:rsidRPr="00916D68">
        <w:rPr>
          <w:rFonts w:ascii="Times" w:hAnsi="Times"/>
          <w:i/>
          <w:sz w:val="24"/>
          <w:szCs w:val="24"/>
          <w:lang w:val="en-US"/>
        </w:rPr>
        <w:t xml:space="preserve"> v </w:t>
      </w:r>
      <w:proofErr w:type="spellStart"/>
      <w:r w:rsidRPr="00916D68">
        <w:rPr>
          <w:rFonts w:ascii="Times" w:hAnsi="Times"/>
          <w:bCs/>
          <w:i/>
          <w:sz w:val="24"/>
          <w:szCs w:val="24"/>
          <w:lang w:val="en-US"/>
        </w:rPr>
        <w:t>Rosset</w:t>
      </w:r>
      <w:proofErr w:type="spellEnd"/>
      <w:r w:rsidRPr="00916D68">
        <w:rPr>
          <w:rFonts w:ascii="Times" w:hAnsi="Times"/>
          <w:sz w:val="24"/>
          <w:szCs w:val="24"/>
          <w:lang w:val="en-US"/>
        </w:rPr>
        <w:t xml:space="preserve"> [1990] UKHL 14</w:t>
      </w:r>
    </w:p>
    <w:p w14:paraId="65F9810E" w14:textId="5E7A9BDA" w:rsidR="009148A7" w:rsidRDefault="00D93C09" w:rsidP="00D93C09">
      <w:pPr>
        <w:rPr>
          <w:rFonts w:ascii="Times" w:hAnsi="Times"/>
          <w:sz w:val="24"/>
          <w:szCs w:val="24"/>
          <w:lang w:val="en-US"/>
        </w:rPr>
      </w:pPr>
      <w:proofErr w:type="gramStart"/>
      <w:r w:rsidRPr="00916D68">
        <w:rPr>
          <w:rFonts w:ascii="Times" w:hAnsi="Times"/>
          <w:bCs/>
          <w:i/>
          <w:sz w:val="24"/>
          <w:szCs w:val="24"/>
          <w:lang w:val="en-US"/>
        </w:rPr>
        <w:t>Malory</w:t>
      </w:r>
      <w:r w:rsidRPr="00916D68">
        <w:rPr>
          <w:rFonts w:ascii="Times" w:hAnsi="Times"/>
          <w:i/>
          <w:sz w:val="24"/>
          <w:szCs w:val="24"/>
          <w:lang w:val="en-US"/>
        </w:rPr>
        <w:t xml:space="preserve"> Enterprises Ltd </w:t>
      </w:r>
      <w:r w:rsidRPr="00916D68">
        <w:rPr>
          <w:rFonts w:ascii="Times" w:hAnsi="Times"/>
          <w:bCs/>
          <w:i/>
          <w:sz w:val="24"/>
          <w:szCs w:val="24"/>
          <w:lang w:val="en-US"/>
        </w:rPr>
        <w:t>v Cheshire Homes</w:t>
      </w:r>
      <w:r w:rsidRPr="00916D68">
        <w:rPr>
          <w:rFonts w:ascii="Times" w:hAnsi="Times"/>
          <w:i/>
          <w:sz w:val="24"/>
          <w:szCs w:val="24"/>
          <w:lang w:val="en-US"/>
        </w:rPr>
        <w:t xml:space="preserve"> (UK).</w:t>
      </w:r>
      <w:proofErr w:type="gramEnd"/>
      <w:r w:rsidRPr="00916D68">
        <w:rPr>
          <w:rFonts w:ascii="Times" w:hAnsi="Times"/>
          <w:i/>
          <w:sz w:val="24"/>
          <w:szCs w:val="24"/>
          <w:lang w:val="en-US"/>
        </w:rPr>
        <w:t xml:space="preserve"> Ltd</w:t>
      </w:r>
      <w:r w:rsidRPr="00916D68">
        <w:rPr>
          <w:rFonts w:ascii="Times" w:hAnsi="Times"/>
          <w:sz w:val="24"/>
          <w:szCs w:val="24"/>
          <w:lang w:val="en-US"/>
        </w:rPr>
        <w:t xml:space="preserve"> [</w:t>
      </w:r>
      <w:r w:rsidRPr="00916D68">
        <w:rPr>
          <w:rFonts w:ascii="Times" w:hAnsi="Times"/>
          <w:bCs/>
          <w:sz w:val="24"/>
          <w:szCs w:val="24"/>
          <w:lang w:val="en-US"/>
        </w:rPr>
        <w:t>2002</w:t>
      </w:r>
      <w:r w:rsidRPr="00916D68">
        <w:rPr>
          <w:rFonts w:ascii="Times" w:hAnsi="Times"/>
          <w:sz w:val="24"/>
          <w:szCs w:val="24"/>
          <w:lang w:val="en-US"/>
        </w:rPr>
        <w:t xml:space="preserve">] EWCA </w:t>
      </w:r>
      <w:proofErr w:type="spellStart"/>
      <w:r w:rsidRPr="00916D68">
        <w:rPr>
          <w:rFonts w:ascii="Times" w:hAnsi="Times"/>
          <w:sz w:val="24"/>
          <w:szCs w:val="24"/>
          <w:lang w:val="en-US"/>
        </w:rPr>
        <w:t>Civ</w:t>
      </w:r>
      <w:proofErr w:type="spellEnd"/>
      <w:r w:rsidRPr="00916D68">
        <w:rPr>
          <w:rFonts w:ascii="Times" w:hAnsi="Times"/>
          <w:sz w:val="24"/>
          <w:szCs w:val="24"/>
          <w:lang w:val="en-US"/>
        </w:rPr>
        <w:t xml:space="preserve"> 151</w:t>
      </w:r>
    </w:p>
    <w:p w14:paraId="20B9EA5D" w14:textId="1760C868" w:rsidR="009148A7" w:rsidRPr="009148A7" w:rsidRDefault="009148A7" w:rsidP="009148A7">
      <w:pPr>
        <w:rPr>
          <w:rFonts w:ascii="Times" w:hAnsi="Times"/>
          <w:sz w:val="24"/>
          <w:szCs w:val="24"/>
          <w:lang w:val="en-US"/>
        </w:rPr>
      </w:pPr>
      <w:r w:rsidRPr="009148A7">
        <w:rPr>
          <w:rFonts w:ascii="Times" w:hAnsi="Times"/>
          <w:i/>
          <w:sz w:val="24"/>
          <w:szCs w:val="24"/>
          <w:lang w:val="en-US"/>
        </w:rPr>
        <w:t>Williams &amp; Glyn's Bank v Boland</w:t>
      </w:r>
      <w:r w:rsidRPr="009148A7">
        <w:rPr>
          <w:rFonts w:ascii="Times" w:hAnsi="Times"/>
          <w:sz w:val="24"/>
          <w:szCs w:val="24"/>
          <w:lang w:val="en-US"/>
        </w:rPr>
        <w:t xml:space="preserve"> [1980] UKHL 4</w:t>
      </w:r>
    </w:p>
    <w:p w14:paraId="45E9A297" w14:textId="77777777" w:rsidR="00916D68" w:rsidRDefault="00916D68" w:rsidP="00D93C09">
      <w:pPr>
        <w:rPr>
          <w:rFonts w:ascii="Times" w:hAnsi="Times"/>
          <w:sz w:val="24"/>
          <w:szCs w:val="24"/>
          <w:lang w:val="en-US"/>
        </w:rPr>
      </w:pPr>
    </w:p>
    <w:p w14:paraId="311DD0AA" w14:textId="54A0E8FE" w:rsidR="00F01D60" w:rsidRPr="00F01D60" w:rsidRDefault="00F01D60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b/>
          <w:sz w:val="28"/>
          <w:szCs w:val="28"/>
        </w:rPr>
      </w:pPr>
      <w:r w:rsidRPr="00F01D60">
        <w:rPr>
          <w:rFonts w:ascii="Times" w:hAnsi="Times" w:cs="Helvetica"/>
          <w:b/>
          <w:sz w:val="28"/>
          <w:szCs w:val="28"/>
        </w:rPr>
        <w:t>Secondary sources:</w:t>
      </w:r>
    </w:p>
    <w:p w14:paraId="02E330C4" w14:textId="60D28586" w:rsidR="00BB4255" w:rsidRPr="00BB4255" w:rsidRDefault="00F01D60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sz w:val="28"/>
          <w:szCs w:val="28"/>
        </w:rPr>
      </w:pPr>
      <w:r w:rsidRPr="00BB4255">
        <w:rPr>
          <w:rFonts w:ascii="Times" w:hAnsi="Times" w:cs="Helvetica"/>
          <w:sz w:val="28"/>
          <w:szCs w:val="28"/>
        </w:rPr>
        <w:t xml:space="preserve">Textbooks: </w:t>
      </w:r>
    </w:p>
    <w:p w14:paraId="0C4D5CD0" w14:textId="03AC4517" w:rsidR="002B4E7D" w:rsidRPr="00BB4255" w:rsidRDefault="00BB4255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sz w:val="24"/>
          <w:szCs w:val="24"/>
        </w:rPr>
      </w:pPr>
      <w:r w:rsidRPr="00BB4255">
        <w:rPr>
          <w:rFonts w:ascii="Times" w:hAnsi="Times" w:cs="Helvetica"/>
          <w:sz w:val="24"/>
          <w:szCs w:val="24"/>
        </w:rPr>
        <w:t xml:space="preserve">J Bray, </w:t>
      </w:r>
      <w:r w:rsidRPr="00BB4255">
        <w:rPr>
          <w:rFonts w:ascii="Times" w:hAnsi="Times" w:cs="Helvetica"/>
          <w:i/>
          <w:sz w:val="24"/>
          <w:szCs w:val="24"/>
        </w:rPr>
        <w:t>Unlocking Land Law</w:t>
      </w:r>
      <w:r w:rsidRPr="00BB4255">
        <w:rPr>
          <w:rFonts w:ascii="Times" w:hAnsi="Times" w:cs="Helvetica"/>
          <w:sz w:val="24"/>
          <w:szCs w:val="24"/>
        </w:rPr>
        <w:t xml:space="preserve"> (3</w:t>
      </w:r>
      <w:r w:rsidRPr="00BB4255">
        <w:rPr>
          <w:rFonts w:ascii="Times" w:hAnsi="Times" w:cs="Helvetica"/>
          <w:sz w:val="24"/>
          <w:szCs w:val="24"/>
          <w:vertAlign w:val="superscript"/>
        </w:rPr>
        <w:t>rd</w:t>
      </w:r>
      <w:r w:rsidRPr="00BB4255">
        <w:rPr>
          <w:rFonts w:ascii="Times" w:hAnsi="Times" w:cs="Helvetica"/>
          <w:sz w:val="24"/>
          <w:szCs w:val="24"/>
        </w:rPr>
        <w:t xml:space="preserve"> edition, </w:t>
      </w:r>
      <w:proofErr w:type="spellStart"/>
      <w:r w:rsidRPr="00BB4255">
        <w:rPr>
          <w:rFonts w:ascii="Times" w:hAnsi="Times" w:cs="Helvetica"/>
          <w:sz w:val="24"/>
          <w:szCs w:val="24"/>
        </w:rPr>
        <w:t>Routledge</w:t>
      </w:r>
      <w:proofErr w:type="spellEnd"/>
      <w:r w:rsidRPr="00BB4255">
        <w:rPr>
          <w:rFonts w:ascii="Times" w:hAnsi="Times" w:cs="Helvetica"/>
          <w:sz w:val="24"/>
          <w:szCs w:val="24"/>
        </w:rPr>
        <w:t>, London, 2010)</w:t>
      </w:r>
    </w:p>
    <w:p w14:paraId="4505C3BD" w14:textId="676C5D7D" w:rsidR="002B4E7D" w:rsidRPr="00BB4255" w:rsidRDefault="00F47303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sz w:val="24"/>
          <w:szCs w:val="24"/>
        </w:rPr>
      </w:pPr>
      <w:r w:rsidRPr="00BB4255">
        <w:rPr>
          <w:rFonts w:ascii="Times" w:hAnsi="Times" w:cs="Helvetica"/>
          <w:sz w:val="24"/>
          <w:szCs w:val="24"/>
        </w:rPr>
        <w:t xml:space="preserve">D </w:t>
      </w:r>
      <w:r w:rsidR="002B4E7D" w:rsidRPr="00BB4255">
        <w:rPr>
          <w:rFonts w:ascii="Times" w:hAnsi="Times" w:cs="Helvetica"/>
          <w:sz w:val="24"/>
          <w:szCs w:val="24"/>
        </w:rPr>
        <w:t>Cowan</w:t>
      </w:r>
      <w:r w:rsidRPr="00BB4255">
        <w:rPr>
          <w:rFonts w:ascii="Times" w:hAnsi="Times" w:cs="Helvetica"/>
          <w:sz w:val="24"/>
          <w:szCs w:val="24"/>
        </w:rPr>
        <w:t xml:space="preserve"> and others, </w:t>
      </w:r>
      <w:r w:rsidRPr="00BB4255">
        <w:rPr>
          <w:rFonts w:ascii="Times" w:hAnsi="Times"/>
          <w:i/>
          <w:sz w:val="24"/>
          <w:szCs w:val="24"/>
        </w:rPr>
        <w:t>Great Debates in Property Law (</w:t>
      </w:r>
      <w:r w:rsidRPr="00BB4255">
        <w:rPr>
          <w:rFonts w:ascii="Times" w:eastAsiaTheme="minorEastAsia" w:hAnsi="Times" w:cs="Arial"/>
          <w:bCs/>
          <w:color w:val="0E0E0E"/>
          <w:sz w:val="24"/>
          <w:szCs w:val="24"/>
          <w:lang w:val="en-US"/>
        </w:rPr>
        <w:t>1</w:t>
      </w:r>
      <w:r w:rsidRPr="00BB4255">
        <w:rPr>
          <w:rFonts w:ascii="Times" w:eastAsiaTheme="minorEastAsia" w:hAnsi="Times" w:cs="Arial"/>
          <w:bCs/>
          <w:color w:val="0E0E0E"/>
          <w:sz w:val="24"/>
          <w:szCs w:val="24"/>
          <w:vertAlign w:val="superscript"/>
          <w:lang w:val="en-US"/>
        </w:rPr>
        <w:t>st</w:t>
      </w:r>
      <w:r w:rsidR="006A4649">
        <w:rPr>
          <w:rFonts w:ascii="Times" w:eastAsiaTheme="minorEastAsia" w:hAnsi="Times" w:cs="Arial"/>
          <w:bCs/>
          <w:color w:val="0E0E0E"/>
          <w:sz w:val="24"/>
          <w:szCs w:val="24"/>
          <w:lang w:val="en-US"/>
        </w:rPr>
        <w:t xml:space="preserve"> edition, Palgrave, London, </w:t>
      </w:r>
      <w:r w:rsidRPr="00BB4255">
        <w:rPr>
          <w:rFonts w:ascii="Times" w:eastAsiaTheme="minorEastAsia" w:hAnsi="Times" w:cs="Arial"/>
          <w:bCs/>
          <w:color w:val="0E0E0E"/>
          <w:sz w:val="24"/>
          <w:szCs w:val="24"/>
          <w:lang w:val="en-US"/>
        </w:rPr>
        <w:t>2012)</w:t>
      </w:r>
    </w:p>
    <w:p w14:paraId="0932F5F1" w14:textId="151EC625" w:rsidR="002B4E7D" w:rsidRPr="00BB4255" w:rsidRDefault="00171941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sz w:val="24"/>
          <w:szCs w:val="24"/>
        </w:rPr>
      </w:pPr>
      <w:r w:rsidRPr="00BB4255">
        <w:rPr>
          <w:rFonts w:ascii="Times" w:hAnsi="Times" w:cs="Helvetica"/>
          <w:sz w:val="24"/>
          <w:szCs w:val="24"/>
        </w:rPr>
        <w:t>M</w:t>
      </w:r>
      <w:r w:rsidR="00F47303" w:rsidRPr="00BB4255">
        <w:rPr>
          <w:rFonts w:ascii="Times" w:hAnsi="Times" w:cs="Helvetica"/>
          <w:sz w:val="24"/>
          <w:szCs w:val="24"/>
        </w:rPr>
        <w:t>J</w:t>
      </w:r>
      <w:r w:rsidRPr="00BB4255">
        <w:rPr>
          <w:rFonts w:ascii="Times" w:hAnsi="Times" w:cs="Helvetica"/>
          <w:sz w:val="24"/>
          <w:szCs w:val="24"/>
        </w:rPr>
        <w:t xml:space="preserve"> </w:t>
      </w:r>
      <w:r w:rsidR="002B4E7D" w:rsidRPr="00BB4255">
        <w:rPr>
          <w:rFonts w:ascii="Times" w:hAnsi="Times" w:cs="Helvetica"/>
          <w:sz w:val="24"/>
          <w:szCs w:val="24"/>
        </w:rPr>
        <w:t>Dixon</w:t>
      </w:r>
      <w:r w:rsidRPr="00BB4255">
        <w:rPr>
          <w:rFonts w:ascii="Times" w:hAnsi="Times" w:cs="Helvetica"/>
          <w:sz w:val="24"/>
          <w:szCs w:val="24"/>
        </w:rPr>
        <w:t xml:space="preserve">, </w:t>
      </w:r>
      <w:r w:rsidRPr="00BB4255">
        <w:rPr>
          <w:rFonts w:ascii="Times" w:hAnsi="Times" w:cs="Helvetica"/>
          <w:i/>
          <w:sz w:val="24"/>
          <w:szCs w:val="24"/>
        </w:rPr>
        <w:t>Modern Land Law</w:t>
      </w:r>
      <w:r w:rsidRPr="00BB4255">
        <w:rPr>
          <w:rFonts w:ascii="Times" w:hAnsi="Times" w:cs="Helvetica"/>
          <w:sz w:val="24"/>
          <w:szCs w:val="24"/>
        </w:rPr>
        <w:t xml:space="preserve"> (3</w:t>
      </w:r>
      <w:r w:rsidRPr="00BB4255">
        <w:rPr>
          <w:rFonts w:ascii="Times" w:hAnsi="Times" w:cs="Helvetica"/>
          <w:sz w:val="24"/>
          <w:szCs w:val="24"/>
          <w:vertAlign w:val="superscript"/>
        </w:rPr>
        <w:t>rd</w:t>
      </w:r>
      <w:r w:rsidR="00F47303" w:rsidRPr="00BB4255">
        <w:rPr>
          <w:rFonts w:ascii="Times" w:hAnsi="Times" w:cs="Helvetica"/>
          <w:sz w:val="24"/>
          <w:szCs w:val="24"/>
        </w:rPr>
        <w:t xml:space="preserve"> edition, </w:t>
      </w:r>
      <w:proofErr w:type="spellStart"/>
      <w:r w:rsidR="00F47303" w:rsidRPr="00BB4255">
        <w:rPr>
          <w:rFonts w:ascii="Times" w:hAnsi="Times" w:cs="Helvetica"/>
          <w:sz w:val="24"/>
          <w:szCs w:val="24"/>
        </w:rPr>
        <w:t>Routledge</w:t>
      </w:r>
      <w:proofErr w:type="spellEnd"/>
      <w:r w:rsidR="00F47303" w:rsidRPr="00BB4255">
        <w:rPr>
          <w:rFonts w:ascii="Times" w:hAnsi="Times" w:cs="Helvetica"/>
          <w:sz w:val="24"/>
          <w:szCs w:val="24"/>
        </w:rPr>
        <w:t xml:space="preserve">, London, 2010) </w:t>
      </w:r>
    </w:p>
    <w:p w14:paraId="3D1C3CC9" w14:textId="7980345D" w:rsidR="00F01D60" w:rsidRPr="00BB4255" w:rsidRDefault="00171941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sz w:val="24"/>
          <w:szCs w:val="24"/>
        </w:rPr>
      </w:pPr>
      <w:r w:rsidRPr="00BB4255">
        <w:rPr>
          <w:rFonts w:ascii="Times" w:hAnsi="Times" w:cs="Helvetica"/>
          <w:sz w:val="24"/>
          <w:szCs w:val="24"/>
        </w:rPr>
        <w:t xml:space="preserve">K </w:t>
      </w:r>
      <w:proofErr w:type="spellStart"/>
      <w:r w:rsidR="00F01D60" w:rsidRPr="00BB4255">
        <w:rPr>
          <w:rFonts w:ascii="Times" w:hAnsi="Times" w:cs="Helvetica"/>
          <w:sz w:val="24"/>
          <w:szCs w:val="24"/>
        </w:rPr>
        <w:t>Gray</w:t>
      </w:r>
      <w:proofErr w:type="spellEnd"/>
      <w:r w:rsidR="00F01D60" w:rsidRPr="00BB4255">
        <w:rPr>
          <w:rFonts w:ascii="Times" w:hAnsi="Times" w:cs="Helvetica"/>
          <w:sz w:val="24"/>
          <w:szCs w:val="24"/>
        </w:rPr>
        <w:t xml:space="preserve"> and </w:t>
      </w:r>
      <w:r w:rsidRPr="00BB4255">
        <w:rPr>
          <w:rFonts w:ascii="Times" w:hAnsi="Times" w:cs="Helvetica"/>
          <w:sz w:val="24"/>
          <w:szCs w:val="24"/>
        </w:rPr>
        <w:t xml:space="preserve">SF </w:t>
      </w:r>
      <w:proofErr w:type="spellStart"/>
      <w:r w:rsidR="00F01D60" w:rsidRPr="00BB4255">
        <w:rPr>
          <w:rFonts w:ascii="Times" w:hAnsi="Times" w:cs="Helvetica"/>
          <w:sz w:val="24"/>
          <w:szCs w:val="24"/>
        </w:rPr>
        <w:t>Gray</w:t>
      </w:r>
      <w:proofErr w:type="spellEnd"/>
      <w:r w:rsidRPr="00BB4255">
        <w:rPr>
          <w:rFonts w:ascii="Times" w:hAnsi="Times" w:cs="Helvetica"/>
          <w:sz w:val="24"/>
          <w:szCs w:val="24"/>
        </w:rPr>
        <w:t xml:space="preserve">, </w:t>
      </w:r>
      <w:r w:rsidRPr="00BB4255">
        <w:rPr>
          <w:rFonts w:ascii="Times" w:hAnsi="Times" w:cs="Helvetica"/>
          <w:i/>
          <w:sz w:val="24"/>
          <w:szCs w:val="24"/>
        </w:rPr>
        <w:t>Land Law</w:t>
      </w:r>
      <w:r w:rsidRPr="00BB4255">
        <w:rPr>
          <w:rFonts w:ascii="Times" w:hAnsi="Times" w:cs="Helvetica"/>
          <w:sz w:val="24"/>
          <w:szCs w:val="24"/>
        </w:rPr>
        <w:t xml:space="preserve"> (7</w:t>
      </w:r>
      <w:r w:rsidRPr="00BB4255">
        <w:rPr>
          <w:rFonts w:ascii="Times" w:hAnsi="Times" w:cs="Helvetica"/>
          <w:sz w:val="24"/>
          <w:szCs w:val="24"/>
          <w:vertAlign w:val="superscript"/>
        </w:rPr>
        <w:t>th</w:t>
      </w:r>
      <w:r w:rsidRPr="00BB4255">
        <w:rPr>
          <w:rFonts w:ascii="Times" w:hAnsi="Times" w:cs="Helvetica"/>
          <w:sz w:val="24"/>
          <w:szCs w:val="24"/>
        </w:rPr>
        <w:t xml:space="preserve"> edition, OUP, Oxford, 2011)</w:t>
      </w:r>
    </w:p>
    <w:p w14:paraId="441AEC15" w14:textId="61986F04" w:rsidR="00F01D60" w:rsidRPr="00BB4255" w:rsidRDefault="00171941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sz w:val="24"/>
          <w:szCs w:val="24"/>
        </w:rPr>
      </w:pPr>
      <w:r w:rsidRPr="00BB4255">
        <w:rPr>
          <w:rFonts w:ascii="Times" w:hAnsi="Times" w:cs="Helvetica"/>
          <w:sz w:val="24"/>
          <w:szCs w:val="24"/>
        </w:rPr>
        <w:t xml:space="preserve">B </w:t>
      </w:r>
      <w:r w:rsidR="00F01D60" w:rsidRPr="00BB4255">
        <w:rPr>
          <w:rFonts w:ascii="Times" w:hAnsi="Times" w:cs="Helvetica"/>
          <w:sz w:val="24"/>
          <w:szCs w:val="24"/>
        </w:rPr>
        <w:t>McFarlane</w:t>
      </w:r>
      <w:r w:rsidRPr="00BB4255">
        <w:rPr>
          <w:rFonts w:ascii="Times" w:hAnsi="Times" w:cs="Helvetica"/>
          <w:sz w:val="24"/>
          <w:szCs w:val="24"/>
        </w:rPr>
        <w:t xml:space="preserve"> and others, </w:t>
      </w:r>
      <w:r w:rsidRPr="00BB4255">
        <w:rPr>
          <w:rFonts w:ascii="Times" w:hAnsi="Times" w:cs="Helvetica"/>
          <w:i/>
          <w:sz w:val="24"/>
          <w:szCs w:val="24"/>
        </w:rPr>
        <w:t>Land Law: Textbooks, Cases and Materials</w:t>
      </w:r>
      <w:r w:rsidRPr="00BB4255">
        <w:rPr>
          <w:rFonts w:ascii="Times" w:hAnsi="Times" w:cs="Helvetica"/>
          <w:sz w:val="24"/>
          <w:szCs w:val="24"/>
        </w:rPr>
        <w:t xml:space="preserve"> (2</w:t>
      </w:r>
      <w:r w:rsidRPr="00BB4255">
        <w:rPr>
          <w:rFonts w:ascii="Times" w:hAnsi="Times" w:cs="Helvetica"/>
          <w:sz w:val="24"/>
          <w:szCs w:val="24"/>
          <w:vertAlign w:val="superscript"/>
        </w:rPr>
        <w:t>nd</w:t>
      </w:r>
      <w:r w:rsidRPr="00BB4255">
        <w:rPr>
          <w:rFonts w:ascii="Times" w:hAnsi="Times" w:cs="Helvetica"/>
          <w:sz w:val="24"/>
          <w:szCs w:val="24"/>
        </w:rPr>
        <w:t xml:space="preserve"> edition, OUP; Oxford, 2012)</w:t>
      </w:r>
    </w:p>
    <w:p w14:paraId="615C91A9" w14:textId="1C3A2C01" w:rsidR="00BB4255" w:rsidRPr="00BB4255" w:rsidRDefault="00BB4255" w:rsidP="00BB4255">
      <w:pPr>
        <w:rPr>
          <w:rFonts w:ascii="Times" w:hAnsi="Times" w:cs="Helvetica"/>
          <w:sz w:val="24"/>
          <w:szCs w:val="24"/>
        </w:rPr>
      </w:pPr>
      <w:r w:rsidRPr="00BB4255">
        <w:rPr>
          <w:rFonts w:ascii="Times" w:hAnsi="Times" w:cs="Helvetica"/>
          <w:sz w:val="24"/>
          <w:szCs w:val="24"/>
        </w:rPr>
        <w:t xml:space="preserve">T </w:t>
      </w:r>
      <w:proofErr w:type="spellStart"/>
      <w:r w:rsidRPr="00BB4255">
        <w:rPr>
          <w:rFonts w:ascii="Times" w:hAnsi="Times" w:cs="Helvetica"/>
          <w:sz w:val="24"/>
          <w:szCs w:val="24"/>
        </w:rPr>
        <w:t>Ruoff</w:t>
      </w:r>
      <w:proofErr w:type="spellEnd"/>
      <w:r w:rsidRPr="00BB4255">
        <w:rPr>
          <w:rFonts w:ascii="Times" w:hAnsi="Times" w:cs="Helvetica"/>
          <w:sz w:val="24"/>
          <w:szCs w:val="24"/>
        </w:rPr>
        <w:t xml:space="preserve">, </w:t>
      </w:r>
      <w:r w:rsidRPr="00BB4255">
        <w:rPr>
          <w:rFonts w:ascii="Times" w:hAnsi="Times" w:cs="Helvetica"/>
          <w:i/>
          <w:sz w:val="24"/>
          <w:szCs w:val="24"/>
        </w:rPr>
        <w:t xml:space="preserve">An </w:t>
      </w:r>
      <w:r w:rsidRPr="00BB4255">
        <w:rPr>
          <w:rFonts w:ascii="Times" w:hAnsi="Times"/>
          <w:i/>
          <w:sz w:val="24"/>
          <w:szCs w:val="24"/>
          <w:lang w:val="en-US"/>
        </w:rPr>
        <w:t>Englishman Looks at the Torrens System</w:t>
      </w:r>
      <w:r w:rsidRPr="00BB4255">
        <w:rPr>
          <w:rFonts w:ascii="Times" w:hAnsi="Times"/>
          <w:sz w:val="24"/>
          <w:szCs w:val="24"/>
          <w:lang w:val="en-US"/>
        </w:rPr>
        <w:t xml:space="preserve"> (</w:t>
      </w:r>
      <w:r w:rsidRPr="00BB4255">
        <w:rPr>
          <w:rFonts w:ascii="Times" w:eastAsiaTheme="minorEastAsia" w:hAnsi="Times" w:cs="Verdana"/>
          <w:sz w:val="24"/>
          <w:szCs w:val="24"/>
          <w:lang w:val="en-US"/>
        </w:rPr>
        <w:t>Law Book Co of Australasia, 1957</w:t>
      </w:r>
      <w:r w:rsidRPr="00BB4255">
        <w:rPr>
          <w:rFonts w:ascii="Times" w:eastAsiaTheme="minorEastAsia" w:hAnsi="Times" w:cs="Verdana"/>
          <w:color w:val="262626"/>
          <w:sz w:val="24"/>
          <w:szCs w:val="24"/>
          <w:lang w:val="en-US"/>
        </w:rPr>
        <w:t>)</w:t>
      </w:r>
    </w:p>
    <w:p w14:paraId="1D92BFB9" w14:textId="122446DE" w:rsidR="00F01D60" w:rsidRPr="00BB4255" w:rsidRDefault="00F47303" w:rsidP="00F01D60">
      <w:pPr>
        <w:autoSpaceDE w:val="0"/>
        <w:autoSpaceDN w:val="0"/>
        <w:adjustRightInd w:val="0"/>
        <w:spacing w:after="0" w:line="480" w:lineRule="auto"/>
        <w:rPr>
          <w:rFonts w:ascii="Times" w:hAnsi="Times" w:cs="Helvetica"/>
          <w:sz w:val="24"/>
          <w:szCs w:val="24"/>
        </w:rPr>
      </w:pPr>
      <w:r w:rsidRPr="00BB4255">
        <w:rPr>
          <w:rFonts w:ascii="Times" w:hAnsi="Times" w:cs="Helvetica"/>
          <w:sz w:val="24"/>
          <w:szCs w:val="24"/>
        </w:rPr>
        <w:t xml:space="preserve">MP </w:t>
      </w:r>
      <w:r w:rsidR="00F01D60" w:rsidRPr="00BB4255">
        <w:rPr>
          <w:rFonts w:ascii="Times" w:hAnsi="Times" w:cs="Helvetica"/>
          <w:sz w:val="24"/>
          <w:szCs w:val="24"/>
        </w:rPr>
        <w:t>Thompson</w:t>
      </w:r>
      <w:r w:rsidRPr="00BB4255">
        <w:rPr>
          <w:rFonts w:ascii="Times" w:hAnsi="Times" w:cs="Helvetica"/>
          <w:sz w:val="24"/>
          <w:szCs w:val="24"/>
        </w:rPr>
        <w:t xml:space="preserve">, </w:t>
      </w:r>
      <w:r w:rsidRPr="00BB4255">
        <w:rPr>
          <w:rFonts w:ascii="Times" w:hAnsi="Times" w:cs="Helvetica"/>
          <w:i/>
          <w:sz w:val="24"/>
          <w:szCs w:val="24"/>
        </w:rPr>
        <w:t>Modern Land Law</w:t>
      </w:r>
      <w:r w:rsidRPr="00BB4255">
        <w:rPr>
          <w:rFonts w:ascii="Times" w:hAnsi="Times" w:cs="Helvetica"/>
          <w:sz w:val="24"/>
          <w:szCs w:val="24"/>
        </w:rPr>
        <w:t xml:space="preserve"> (5</w:t>
      </w:r>
      <w:r w:rsidRPr="00BB4255">
        <w:rPr>
          <w:rFonts w:ascii="Times" w:hAnsi="Times" w:cs="Helvetica"/>
          <w:sz w:val="24"/>
          <w:szCs w:val="24"/>
          <w:vertAlign w:val="superscript"/>
        </w:rPr>
        <w:t>th</w:t>
      </w:r>
      <w:r w:rsidRPr="00BB4255">
        <w:rPr>
          <w:rFonts w:ascii="Times" w:hAnsi="Times" w:cs="Helvetica"/>
          <w:sz w:val="24"/>
          <w:szCs w:val="24"/>
        </w:rPr>
        <w:t xml:space="preserve"> edition, OUP, Oxford, 2012)</w:t>
      </w:r>
    </w:p>
    <w:p w14:paraId="561E60B7" w14:textId="77777777" w:rsidR="00F47303" w:rsidRPr="00F47303" w:rsidRDefault="00F47303" w:rsidP="00F47303">
      <w:pPr>
        <w:pStyle w:val="ListParagraph"/>
        <w:spacing w:after="160" w:line="360" w:lineRule="auto"/>
        <w:rPr>
          <w:rFonts w:ascii="Arial" w:hAnsi="Arial" w:cs="Arial"/>
          <w:sz w:val="24"/>
          <w:szCs w:val="24"/>
        </w:rPr>
      </w:pPr>
    </w:p>
    <w:p w14:paraId="354F5808" w14:textId="4C2CD4C9" w:rsidR="009A5A0F" w:rsidRPr="00BB4255" w:rsidRDefault="00BB4255" w:rsidP="00B24740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Helvetica"/>
          <w:sz w:val="28"/>
          <w:szCs w:val="28"/>
        </w:rPr>
      </w:pPr>
      <w:r w:rsidRPr="00BB4255">
        <w:rPr>
          <w:rFonts w:ascii="Times" w:hAnsi="Times" w:cs="Helvetica"/>
          <w:sz w:val="28"/>
          <w:szCs w:val="28"/>
        </w:rPr>
        <w:t>Journals:</w:t>
      </w:r>
    </w:p>
    <w:p w14:paraId="5DE3B269" w14:textId="69C255BC" w:rsidR="00BF7AF6" w:rsidRPr="00BB4255" w:rsidRDefault="005B5FFB" w:rsidP="00BB4255">
      <w:pPr>
        <w:rPr>
          <w:rFonts w:ascii="Times" w:hAnsi="Times" w:cs="Helvetica"/>
          <w:sz w:val="24"/>
          <w:szCs w:val="24"/>
        </w:rPr>
      </w:pPr>
      <w:r w:rsidRPr="00BB4255">
        <w:rPr>
          <w:rFonts w:ascii="Times" w:hAnsi="Times" w:cs="Helvetica"/>
          <w:sz w:val="24"/>
          <w:szCs w:val="24"/>
        </w:rPr>
        <w:t xml:space="preserve">B </w:t>
      </w:r>
      <w:proofErr w:type="spellStart"/>
      <w:r w:rsidR="00BF7AF6" w:rsidRPr="00BB4255">
        <w:rPr>
          <w:rFonts w:ascii="Times" w:hAnsi="Times" w:cs="Helvetica"/>
          <w:sz w:val="24"/>
          <w:szCs w:val="24"/>
        </w:rPr>
        <w:t>Bogusz</w:t>
      </w:r>
      <w:proofErr w:type="spellEnd"/>
      <w:r w:rsidRPr="00BB4255">
        <w:rPr>
          <w:rFonts w:ascii="Times" w:hAnsi="Times" w:cs="Helvetica"/>
          <w:sz w:val="24"/>
          <w:szCs w:val="24"/>
        </w:rPr>
        <w:t>,</w:t>
      </w:r>
      <w:r w:rsidR="00BF7AF6" w:rsidRPr="00BB4255">
        <w:rPr>
          <w:rFonts w:ascii="Times" w:hAnsi="Times" w:cs="Helvetica"/>
          <w:sz w:val="24"/>
          <w:szCs w:val="24"/>
        </w:rPr>
        <w:t xml:space="preserve"> </w:t>
      </w:r>
      <w:r w:rsidRPr="00BB4255">
        <w:rPr>
          <w:rFonts w:ascii="Times" w:hAnsi="Times" w:cs="Helvetica"/>
          <w:sz w:val="24"/>
          <w:szCs w:val="24"/>
        </w:rPr>
        <w:t>“</w:t>
      </w:r>
      <w:r w:rsidRPr="00BB4255">
        <w:rPr>
          <w:rFonts w:ascii="Times" w:hAnsi="Times"/>
          <w:sz w:val="24"/>
          <w:szCs w:val="24"/>
        </w:rPr>
        <w:t>Bringing Land Registration into the Twenty–First Century – The Land Registration Act 2002” (2002) 65 MLR 556</w:t>
      </w:r>
    </w:p>
    <w:p w14:paraId="7C1A0501" w14:textId="15D5F536" w:rsidR="00171941" w:rsidRPr="00BB4255" w:rsidRDefault="00171941" w:rsidP="00BB4255">
      <w:pPr>
        <w:rPr>
          <w:rFonts w:ascii="Times" w:hAnsi="Times"/>
          <w:sz w:val="24"/>
          <w:szCs w:val="24"/>
          <w:lang w:val="en-US"/>
        </w:rPr>
      </w:pPr>
      <w:r w:rsidRPr="00BB4255">
        <w:rPr>
          <w:rFonts w:ascii="Times" w:hAnsi="Times" w:cs="Helvetica"/>
          <w:sz w:val="24"/>
          <w:szCs w:val="24"/>
        </w:rPr>
        <w:t>F Burns, “</w:t>
      </w:r>
      <w:r w:rsidRPr="00BB4255">
        <w:rPr>
          <w:rFonts w:ascii="Times" w:hAnsi="Times"/>
          <w:sz w:val="24"/>
          <w:szCs w:val="24"/>
        </w:rPr>
        <w:t>The Future of Prescriptive Easements in Australia and England”</w:t>
      </w:r>
      <w:r w:rsidRPr="00BB4255">
        <w:rPr>
          <w:rFonts w:ascii="Times" w:hAnsi="Times"/>
          <w:sz w:val="24"/>
          <w:szCs w:val="24"/>
          <w:lang w:val="en-US"/>
        </w:rPr>
        <w:t xml:space="preserve"> (2007) Melbourne Law Review 4</w:t>
      </w:r>
    </w:p>
    <w:p w14:paraId="50E16801" w14:textId="1B616BF3" w:rsidR="00BF7AF6" w:rsidRPr="00BB4255" w:rsidRDefault="00BB4255" w:rsidP="00BB4255">
      <w:pPr>
        <w:rPr>
          <w:rFonts w:ascii="Times" w:hAnsi="Times" w:cs="Helvetica"/>
          <w:sz w:val="24"/>
          <w:szCs w:val="24"/>
        </w:rPr>
      </w:pPr>
      <w:r>
        <w:rPr>
          <w:rFonts w:ascii="Times" w:eastAsiaTheme="minorEastAsia" w:hAnsi="Times" w:cs="Arial"/>
          <w:sz w:val="24"/>
          <w:szCs w:val="24"/>
          <w:lang w:val="en-US"/>
        </w:rPr>
        <w:t xml:space="preserve">E Cooke, ‘The Register’s Guarantee of Title’ (2013) </w:t>
      </w:r>
      <w:proofErr w:type="spellStart"/>
      <w:r w:rsidR="005B5FFB" w:rsidRPr="00BB4255">
        <w:rPr>
          <w:rFonts w:ascii="Times" w:eastAsiaTheme="minorEastAsia" w:hAnsi="Times" w:cs="Arial"/>
          <w:sz w:val="24"/>
          <w:szCs w:val="24"/>
          <w:lang w:val="en-US"/>
        </w:rPr>
        <w:t>Convenyancer</w:t>
      </w:r>
      <w:proofErr w:type="spellEnd"/>
      <w:r w:rsidR="005B5FFB" w:rsidRPr="00BB4255">
        <w:rPr>
          <w:rFonts w:ascii="Times" w:eastAsiaTheme="minorEastAsia" w:hAnsi="Times" w:cs="Arial"/>
          <w:sz w:val="24"/>
          <w:szCs w:val="24"/>
          <w:lang w:val="en-US"/>
        </w:rPr>
        <w:t xml:space="preserve"> 344</w:t>
      </w:r>
    </w:p>
    <w:p w14:paraId="29B8B94D" w14:textId="6D7E7F08" w:rsidR="00BF7AF6" w:rsidRPr="00BB4255" w:rsidRDefault="005B5FFB" w:rsidP="00BB4255">
      <w:pPr>
        <w:rPr>
          <w:rFonts w:ascii="Times" w:eastAsiaTheme="minorEastAsia" w:hAnsi="Times" w:cs="Times"/>
          <w:sz w:val="24"/>
          <w:szCs w:val="24"/>
          <w:lang w:val="en-US"/>
        </w:rPr>
      </w:pPr>
      <w:r w:rsidRPr="00BB4255">
        <w:rPr>
          <w:rFonts w:ascii="Times" w:eastAsiaTheme="minorEastAsia" w:hAnsi="Times" w:cs="Arial"/>
          <w:sz w:val="24"/>
          <w:szCs w:val="24"/>
          <w:lang w:val="en-US"/>
        </w:rPr>
        <w:t>M Dixon, ‘A not so conclusive title register?’ (2013</w:t>
      </w:r>
      <w:r w:rsidR="00BB4255">
        <w:rPr>
          <w:rFonts w:ascii="Times" w:eastAsiaTheme="minorEastAsia" w:hAnsi="Times" w:cs="Arial"/>
          <w:sz w:val="24"/>
          <w:szCs w:val="24"/>
          <w:lang w:val="en-US"/>
        </w:rPr>
        <w:t>) 129 Law Quarterly Review 320</w:t>
      </w:r>
    </w:p>
    <w:p w14:paraId="5513FF00" w14:textId="57E29A57" w:rsidR="00BF7AF6" w:rsidRPr="00BB4255" w:rsidRDefault="005B5FFB" w:rsidP="00BB4255">
      <w:pPr>
        <w:rPr>
          <w:rFonts w:ascii="Times" w:hAnsi="Times" w:cs="Helvetica"/>
          <w:sz w:val="24"/>
          <w:szCs w:val="24"/>
        </w:rPr>
      </w:pPr>
      <w:r w:rsidRPr="00BB4255">
        <w:rPr>
          <w:rFonts w:ascii="Times" w:hAnsi="Times" w:cs="Helvetica"/>
          <w:sz w:val="24"/>
          <w:szCs w:val="24"/>
        </w:rPr>
        <w:t xml:space="preserve">G </w:t>
      </w:r>
      <w:proofErr w:type="spellStart"/>
      <w:r w:rsidR="00BF7AF6" w:rsidRPr="00BB4255">
        <w:rPr>
          <w:rFonts w:ascii="Times" w:hAnsi="Times" w:cs="Helvetica"/>
          <w:sz w:val="24"/>
          <w:szCs w:val="24"/>
        </w:rPr>
        <w:t>Dworkin</w:t>
      </w:r>
      <w:proofErr w:type="spellEnd"/>
      <w:r w:rsidRPr="00BB4255">
        <w:rPr>
          <w:rFonts w:ascii="Times" w:hAnsi="Times" w:cs="Helvetica"/>
          <w:sz w:val="24"/>
          <w:szCs w:val="24"/>
        </w:rPr>
        <w:t>, “</w:t>
      </w:r>
      <w:r w:rsidR="00BB4255">
        <w:rPr>
          <w:rFonts w:ascii="Times" w:hAnsi="Times"/>
          <w:sz w:val="24"/>
          <w:szCs w:val="24"/>
        </w:rPr>
        <w:t>Registered Land R</w:t>
      </w:r>
      <w:r w:rsidRPr="00BB4255">
        <w:rPr>
          <w:rFonts w:ascii="Times" w:hAnsi="Times"/>
          <w:sz w:val="24"/>
          <w:szCs w:val="24"/>
        </w:rPr>
        <w:t>eform” (1961) 24 MLR 135</w:t>
      </w:r>
    </w:p>
    <w:p w14:paraId="2C9EAC88" w14:textId="0F50FEEA" w:rsidR="005B5FFB" w:rsidRPr="00BB4255" w:rsidRDefault="00246E9F" w:rsidP="00BB4255">
      <w:pPr>
        <w:rPr>
          <w:rFonts w:ascii="Times" w:hAnsi="Times"/>
          <w:sz w:val="24"/>
          <w:szCs w:val="24"/>
          <w:lang w:val="en-US"/>
        </w:rPr>
      </w:pPr>
      <w:r w:rsidRPr="00BB4255">
        <w:rPr>
          <w:rFonts w:ascii="Times" w:hAnsi="Times"/>
          <w:sz w:val="24"/>
          <w:szCs w:val="24"/>
        </w:rPr>
        <w:t xml:space="preserve">N </w:t>
      </w:r>
      <w:r w:rsidR="00BF7AF6" w:rsidRPr="00BB4255">
        <w:rPr>
          <w:rFonts w:ascii="Times" w:hAnsi="Times"/>
          <w:sz w:val="24"/>
          <w:szCs w:val="24"/>
        </w:rPr>
        <w:t>Jackson</w:t>
      </w:r>
      <w:r w:rsidRPr="00BB4255">
        <w:rPr>
          <w:rFonts w:ascii="Times" w:hAnsi="Times"/>
          <w:sz w:val="24"/>
          <w:szCs w:val="24"/>
        </w:rPr>
        <w:t>, “Title By Registration and Concealed Overriding Intere</w:t>
      </w:r>
      <w:r w:rsidR="00BB4255">
        <w:rPr>
          <w:rFonts w:ascii="Times" w:hAnsi="Times"/>
          <w:sz w:val="24"/>
          <w:szCs w:val="24"/>
        </w:rPr>
        <w:t>sts: The Cause and Effect of A</w:t>
      </w:r>
      <w:r w:rsidRPr="00BB4255">
        <w:rPr>
          <w:rFonts w:ascii="Times" w:hAnsi="Times"/>
          <w:sz w:val="24"/>
          <w:szCs w:val="24"/>
        </w:rPr>
        <w:t>ntipathy</w:t>
      </w:r>
      <w:r w:rsidR="00BB4255">
        <w:rPr>
          <w:rFonts w:ascii="Times" w:hAnsi="Times"/>
          <w:sz w:val="24"/>
          <w:szCs w:val="24"/>
        </w:rPr>
        <w:t xml:space="preserve"> to Documentary P</w:t>
      </w:r>
      <w:r w:rsidRPr="00BB4255">
        <w:rPr>
          <w:rFonts w:ascii="Times" w:hAnsi="Times"/>
          <w:sz w:val="24"/>
          <w:szCs w:val="24"/>
        </w:rPr>
        <w:t xml:space="preserve">roof” </w:t>
      </w:r>
      <w:r w:rsidR="00BB4255">
        <w:rPr>
          <w:rFonts w:ascii="Times" w:hAnsi="Times"/>
          <w:sz w:val="24"/>
          <w:szCs w:val="24"/>
        </w:rPr>
        <w:t xml:space="preserve">(2003) </w:t>
      </w:r>
      <w:r w:rsidRPr="00BB4255">
        <w:rPr>
          <w:rFonts w:ascii="Times" w:hAnsi="Times"/>
          <w:sz w:val="24"/>
          <w:szCs w:val="24"/>
        </w:rPr>
        <w:t>119 Law Quarterly Review</w:t>
      </w:r>
      <w:r w:rsidRPr="00BB4255">
        <w:rPr>
          <w:rFonts w:ascii="Times" w:eastAsiaTheme="minorEastAsia" w:hAnsi="Times" w:cs="Arial"/>
          <w:sz w:val="24"/>
          <w:szCs w:val="24"/>
          <w:lang w:val="en-US"/>
        </w:rPr>
        <w:t xml:space="preserve"> 660</w:t>
      </w:r>
    </w:p>
    <w:p w14:paraId="484B1C81" w14:textId="55AD1D3D" w:rsidR="006C2E17" w:rsidRDefault="006C2E17" w:rsidP="00BB4255">
      <w:pPr>
        <w:rPr>
          <w:rFonts w:ascii="Times" w:hAnsi="Times" w:cs="Helvetica"/>
          <w:sz w:val="24"/>
          <w:szCs w:val="24"/>
        </w:rPr>
      </w:pPr>
    </w:p>
    <w:p w14:paraId="7375C886" w14:textId="77777777" w:rsidR="006C2E17" w:rsidRPr="006C2E17" w:rsidRDefault="006C2E17" w:rsidP="006C2E17">
      <w:pPr>
        <w:rPr>
          <w:rFonts w:ascii="Times" w:hAnsi="Times" w:cs="Helvetica"/>
          <w:sz w:val="24"/>
          <w:szCs w:val="24"/>
        </w:rPr>
      </w:pPr>
    </w:p>
    <w:p w14:paraId="2FB5253C" w14:textId="77777777" w:rsidR="006C2E17" w:rsidRPr="006C2E17" w:rsidRDefault="006C2E17" w:rsidP="006C2E17">
      <w:pPr>
        <w:rPr>
          <w:rFonts w:ascii="Times" w:hAnsi="Times" w:cs="Helvetica"/>
          <w:sz w:val="24"/>
          <w:szCs w:val="24"/>
        </w:rPr>
      </w:pPr>
    </w:p>
    <w:p w14:paraId="79EBA504" w14:textId="77777777" w:rsidR="006C2E17" w:rsidRPr="006C2E17" w:rsidRDefault="006C2E17" w:rsidP="006C2E17">
      <w:pPr>
        <w:rPr>
          <w:rFonts w:ascii="Times" w:hAnsi="Times" w:cs="Helvetica"/>
          <w:sz w:val="24"/>
          <w:szCs w:val="24"/>
        </w:rPr>
      </w:pPr>
    </w:p>
    <w:p w14:paraId="20A60CB2" w14:textId="01707980" w:rsidR="00BF7AF6" w:rsidRPr="006C2E17" w:rsidRDefault="00BF7AF6" w:rsidP="006C2E17">
      <w:pPr>
        <w:tabs>
          <w:tab w:val="left" w:pos="1451"/>
        </w:tabs>
        <w:rPr>
          <w:rFonts w:ascii="Times" w:hAnsi="Times" w:cs="Helvetica"/>
          <w:sz w:val="24"/>
          <w:szCs w:val="24"/>
        </w:rPr>
      </w:pPr>
    </w:p>
    <w:sectPr w:rsidR="00BF7AF6" w:rsidRPr="006C2E17" w:rsidSect="008570B1">
      <w:pgSz w:w="11900" w:h="16840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41D44" w14:textId="77777777" w:rsidR="007525BB" w:rsidRDefault="007525BB" w:rsidP="00F14424">
      <w:pPr>
        <w:spacing w:after="0" w:line="240" w:lineRule="auto"/>
      </w:pPr>
      <w:r>
        <w:separator/>
      </w:r>
    </w:p>
  </w:endnote>
  <w:endnote w:type="continuationSeparator" w:id="0">
    <w:p w14:paraId="78A478E0" w14:textId="77777777" w:rsidR="007525BB" w:rsidRDefault="007525BB" w:rsidP="00F1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7ECFE" w14:textId="77777777" w:rsidR="007525BB" w:rsidRDefault="007525BB" w:rsidP="00F14424">
      <w:pPr>
        <w:spacing w:after="0" w:line="240" w:lineRule="auto"/>
      </w:pPr>
      <w:r>
        <w:separator/>
      </w:r>
    </w:p>
  </w:footnote>
  <w:footnote w:type="continuationSeparator" w:id="0">
    <w:p w14:paraId="46654FBF" w14:textId="77777777" w:rsidR="007525BB" w:rsidRDefault="007525BB" w:rsidP="00F14424">
      <w:pPr>
        <w:spacing w:after="0" w:line="240" w:lineRule="auto"/>
      </w:pPr>
      <w:r>
        <w:continuationSeparator/>
      </w:r>
    </w:p>
  </w:footnote>
  <w:footnote w:id="1">
    <w:p w14:paraId="290062AA" w14:textId="76D129EF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 w:cs="Helvetica"/>
          <w:sz w:val="16"/>
          <w:szCs w:val="16"/>
        </w:rPr>
        <w:t>Land Registration Act 1925</w:t>
      </w:r>
    </w:p>
  </w:footnote>
  <w:footnote w:id="2">
    <w:p w14:paraId="03F6747F" w14:textId="0C5BDFB9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 w:cs="Helvetica"/>
          <w:sz w:val="16"/>
          <w:szCs w:val="16"/>
        </w:rPr>
        <w:t>Land Registration Act 2002</w:t>
      </w:r>
    </w:p>
  </w:footnote>
  <w:footnote w:id="3">
    <w:p w14:paraId="4B133554" w14:textId="0101ACCA" w:rsidR="007525BB" w:rsidRPr="007F6166" w:rsidRDefault="007525BB" w:rsidP="00E8765B">
      <w:pPr>
        <w:spacing w:after="0" w:line="240" w:lineRule="auto"/>
        <w:contextualSpacing/>
        <w:rPr>
          <w:rFonts w:ascii="Times" w:hAnsi="Times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T </w:t>
      </w:r>
      <w:proofErr w:type="spellStart"/>
      <w:r w:rsidRPr="007F6166">
        <w:rPr>
          <w:rFonts w:ascii="Times" w:hAnsi="Times"/>
          <w:sz w:val="16"/>
          <w:szCs w:val="16"/>
        </w:rPr>
        <w:t>Ruoff</w:t>
      </w:r>
      <w:proofErr w:type="spellEnd"/>
      <w:r w:rsidRPr="007F6166">
        <w:rPr>
          <w:rFonts w:ascii="Times" w:hAnsi="Times"/>
          <w:sz w:val="16"/>
          <w:szCs w:val="16"/>
        </w:rPr>
        <w:t xml:space="preserve">, </w:t>
      </w:r>
      <w:r w:rsidRPr="007F6166">
        <w:rPr>
          <w:rFonts w:ascii="Times" w:hAnsi="Times"/>
          <w:i/>
          <w:sz w:val="16"/>
          <w:szCs w:val="16"/>
        </w:rPr>
        <w:t xml:space="preserve">An </w:t>
      </w:r>
      <w:r w:rsidRPr="007F6166">
        <w:rPr>
          <w:rFonts w:ascii="Times" w:hAnsi="Times"/>
          <w:i/>
          <w:sz w:val="16"/>
          <w:szCs w:val="16"/>
          <w:lang w:val="en-US"/>
        </w:rPr>
        <w:t>Englishman Looks at the Torrens System</w:t>
      </w:r>
      <w:r w:rsidRPr="007F6166">
        <w:rPr>
          <w:rFonts w:ascii="Times" w:hAnsi="Times"/>
          <w:sz w:val="16"/>
          <w:szCs w:val="16"/>
          <w:lang w:val="en-US"/>
        </w:rPr>
        <w:t xml:space="preserve"> (</w:t>
      </w:r>
      <w:r w:rsidRPr="007F6166">
        <w:rPr>
          <w:rFonts w:ascii="Times" w:eastAsiaTheme="minorEastAsia" w:hAnsi="Times"/>
          <w:sz w:val="16"/>
          <w:szCs w:val="16"/>
          <w:lang w:val="en-US"/>
        </w:rPr>
        <w:t>Law Book Co of Australasia, 1957</w:t>
      </w:r>
      <w:r w:rsidRPr="007F6166">
        <w:rPr>
          <w:rFonts w:ascii="Times" w:eastAsiaTheme="minorEastAsia" w:hAnsi="Times"/>
          <w:color w:val="262626"/>
          <w:sz w:val="16"/>
          <w:szCs w:val="16"/>
          <w:lang w:val="en-US"/>
        </w:rPr>
        <w:t>)</w:t>
      </w:r>
    </w:p>
  </w:footnote>
  <w:footnote w:id="4">
    <w:p w14:paraId="3AF1B434" w14:textId="384E6353" w:rsidR="007525BB" w:rsidRPr="007F6166" w:rsidRDefault="007525BB" w:rsidP="00E8765B">
      <w:pPr>
        <w:pStyle w:val="FootnoteText"/>
        <w:contextualSpacing/>
        <w:rPr>
          <w:rFonts w:ascii="Times" w:hAnsi="Times"/>
          <w:sz w:val="16"/>
          <w:szCs w:val="16"/>
          <w:lang w:val="en-US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(ibid) </w:t>
      </w:r>
      <w:r w:rsidRPr="007F6166">
        <w:rPr>
          <w:rFonts w:ascii="Times" w:hAnsi="Times" w:cs="Helvetica"/>
          <w:sz w:val="16"/>
          <w:szCs w:val="16"/>
        </w:rPr>
        <w:t xml:space="preserve">Such a concept is strictly related to the curtain and insurance principles as well </w:t>
      </w:r>
    </w:p>
  </w:footnote>
  <w:footnote w:id="5">
    <w:p w14:paraId="1E9BE8A8" w14:textId="47A3359F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 w:cs="Helvetica"/>
          <w:sz w:val="16"/>
          <w:szCs w:val="16"/>
        </w:rPr>
        <w:t>Land Registration Act 2002</w:t>
      </w:r>
    </w:p>
  </w:footnote>
  <w:footnote w:id="6">
    <w:p w14:paraId="45C5A517" w14:textId="09DA3BAD" w:rsidR="007525BB" w:rsidRPr="007F6166" w:rsidRDefault="007525BB" w:rsidP="00E8765B">
      <w:pPr>
        <w:pStyle w:val="FootnoteText"/>
        <w:contextualSpacing/>
        <w:rPr>
          <w:rFonts w:ascii="Times" w:hAnsi="Times"/>
          <w:sz w:val="16"/>
          <w:szCs w:val="16"/>
          <w:lang w:val="en-US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 w:cs="Helvetica"/>
          <w:sz w:val="16"/>
          <w:szCs w:val="16"/>
        </w:rPr>
        <w:t xml:space="preserve"> The LRA 2002 </w:t>
      </w:r>
      <w:r>
        <w:rPr>
          <w:rFonts w:ascii="Times" w:hAnsi="Times" w:cs="Helvetica"/>
          <w:sz w:val="16"/>
          <w:szCs w:val="16"/>
        </w:rPr>
        <w:t xml:space="preserve">renamed overriding interests and distinguishes </w:t>
      </w:r>
      <w:r w:rsidRPr="007F6166">
        <w:rPr>
          <w:rFonts w:ascii="Times" w:hAnsi="Times" w:cs="Helvetica"/>
          <w:sz w:val="16"/>
          <w:szCs w:val="16"/>
        </w:rPr>
        <w:t>between rights which override first registration and those that affect registered dispositions</w:t>
      </w:r>
    </w:p>
  </w:footnote>
  <w:footnote w:id="7">
    <w:p w14:paraId="264BBAA8" w14:textId="043A322A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 w:cs="Helvetica"/>
          <w:sz w:val="16"/>
          <w:szCs w:val="16"/>
        </w:rPr>
        <w:t>Land Registration Act 2002</w:t>
      </w:r>
    </w:p>
  </w:footnote>
  <w:footnote w:id="8">
    <w:p w14:paraId="45B61831" w14:textId="173828FC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 w:cs="Helvetica"/>
          <w:sz w:val="16"/>
          <w:szCs w:val="16"/>
        </w:rPr>
        <w:t>Land Transfer A</w:t>
      </w:r>
      <w:r w:rsidRPr="007F6166">
        <w:rPr>
          <w:rFonts w:ascii="Times" w:hAnsi="Times" w:cs="Helvetica"/>
          <w:sz w:val="16"/>
          <w:szCs w:val="16"/>
        </w:rPr>
        <w:t>ct 1875</w:t>
      </w:r>
      <w:r>
        <w:rPr>
          <w:rFonts w:ascii="Times" w:hAnsi="Times" w:cs="Helvetica"/>
          <w:sz w:val="16"/>
          <w:szCs w:val="16"/>
        </w:rPr>
        <w:t xml:space="preserve"> (registration used to be voluntary)</w:t>
      </w:r>
    </w:p>
  </w:footnote>
  <w:footnote w:id="9">
    <w:p w14:paraId="659AFCD0" w14:textId="4F729750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 w:cs="Helvetica"/>
          <w:sz w:val="16"/>
          <w:szCs w:val="16"/>
        </w:rPr>
        <w:t xml:space="preserve">J Bray, </w:t>
      </w:r>
      <w:r w:rsidRPr="007F6166">
        <w:rPr>
          <w:rFonts w:ascii="Times" w:hAnsi="Times" w:cs="Helvetica"/>
          <w:i/>
          <w:sz w:val="16"/>
          <w:szCs w:val="16"/>
        </w:rPr>
        <w:t>Unlocking Land Law</w:t>
      </w:r>
      <w:r w:rsidRPr="007F6166">
        <w:rPr>
          <w:rFonts w:ascii="Times" w:hAnsi="Times" w:cs="Helvetica"/>
          <w:sz w:val="16"/>
          <w:szCs w:val="16"/>
        </w:rPr>
        <w:t xml:space="preserve"> (3</w:t>
      </w:r>
      <w:r w:rsidRPr="007F6166">
        <w:rPr>
          <w:rFonts w:ascii="Times" w:hAnsi="Times" w:cs="Helvetica"/>
          <w:sz w:val="16"/>
          <w:szCs w:val="16"/>
          <w:vertAlign w:val="superscript"/>
        </w:rPr>
        <w:t>rd</w:t>
      </w:r>
      <w:r w:rsidRPr="007F6166">
        <w:rPr>
          <w:rFonts w:ascii="Times" w:hAnsi="Times" w:cs="Helvetica"/>
          <w:sz w:val="16"/>
          <w:szCs w:val="16"/>
        </w:rPr>
        <w:t xml:space="preserve"> edition, </w:t>
      </w:r>
      <w:proofErr w:type="spellStart"/>
      <w:r w:rsidRPr="007F6166">
        <w:rPr>
          <w:rFonts w:ascii="Times" w:hAnsi="Times" w:cs="Helvetica"/>
          <w:sz w:val="16"/>
          <w:szCs w:val="16"/>
        </w:rPr>
        <w:t>Routledge</w:t>
      </w:r>
      <w:proofErr w:type="spellEnd"/>
      <w:r w:rsidRPr="007F6166">
        <w:rPr>
          <w:rFonts w:ascii="Times" w:hAnsi="Times" w:cs="Helvetica"/>
          <w:sz w:val="16"/>
          <w:szCs w:val="16"/>
        </w:rPr>
        <w:t>, London, 2010)</w:t>
      </w:r>
    </w:p>
  </w:footnote>
  <w:footnote w:id="10">
    <w:p w14:paraId="3BFC9127" w14:textId="7B22649E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 w:cs="Helvetica"/>
          <w:sz w:val="16"/>
          <w:szCs w:val="16"/>
        </w:rPr>
        <w:t>Land Transfer Act 1897</w:t>
      </w:r>
    </w:p>
  </w:footnote>
  <w:footnote w:id="11">
    <w:p w14:paraId="155CB3BF" w14:textId="1E45A129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/>
          <w:sz w:val="16"/>
          <w:szCs w:val="16"/>
          <w:lang w:val="en-US"/>
        </w:rPr>
        <w:t>M</w:t>
      </w:r>
      <w:r w:rsidRPr="007F6166">
        <w:rPr>
          <w:rFonts w:ascii="Times" w:hAnsi="Times" w:cs="Helvetica"/>
          <w:sz w:val="16"/>
          <w:szCs w:val="16"/>
        </w:rPr>
        <w:t xml:space="preserve"> B McFarlane and others, </w:t>
      </w:r>
      <w:r w:rsidRPr="007F6166">
        <w:rPr>
          <w:rFonts w:ascii="Times" w:hAnsi="Times" w:cs="Helvetica"/>
          <w:i/>
          <w:sz w:val="16"/>
          <w:szCs w:val="16"/>
        </w:rPr>
        <w:t>Land Law: Textbooks, Cases and Materials</w:t>
      </w:r>
      <w:r w:rsidRPr="007F6166">
        <w:rPr>
          <w:rFonts w:ascii="Times" w:hAnsi="Times" w:cs="Helvetica"/>
          <w:sz w:val="16"/>
          <w:szCs w:val="16"/>
        </w:rPr>
        <w:t xml:space="preserve"> (2</w:t>
      </w:r>
      <w:r w:rsidRPr="007F6166">
        <w:rPr>
          <w:rFonts w:ascii="Times" w:hAnsi="Times" w:cs="Helvetica"/>
          <w:sz w:val="16"/>
          <w:szCs w:val="16"/>
          <w:vertAlign w:val="superscript"/>
        </w:rPr>
        <w:t>nd</w:t>
      </w:r>
      <w:r w:rsidRPr="007F6166">
        <w:rPr>
          <w:rFonts w:ascii="Times" w:hAnsi="Times" w:cs="Helvetica"/>
          <w:sz w:val="16"/>
          <w:szCs w:val="16"/>
        </w:rPr>
        <w:t xml:space="preserve"> edition, OUP; Oxford, 2012)</w:t>
      </w:r>
    </w:p>
  </w:footnote>
  <w:footnote w:id="12">
    <w:p w14:paraId="5CBF9CB6" w14:textId="07D5164A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 w:cs="Helvetica"/>
          <w:sz w:val="16"/>
          <w:szCs w:val="16"/>
        </w:rPr>
        <w:t>Land Registration Act 1925</w:t>
      </w:r>
    </w:p>
  </w:footnote>
  <w:footnote w:id="13">
    <w:p w14:paraId="37118997" w14:textId="7346AE33" w:rsidR="007525BB" w:rsidRPr="007F6166" w:rsidRDefault="007525BB" w:rsidP="00E8765B">
      <w:pPr>
        <w:pStyle w:val="FootnoteText"/>
        <w:contextualSpacing/>
        <w:rPr>
          <w:rFonts w:ascii="Times" w:hAnsi="Times"/>
          <w:sz w:val="16"/>
          <w:szCs w:val="16"/>
          <w:lang w:val="en-US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(Ibid)</w:t>
      </w:r>
    </w:p>
  </w:footnote>
  <w:footnote w:id="14">
    <w:p w14:paraId="40211D02" w14:textId="5B4CEFB9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 w:cs="Helvetica"/>
          <w:sz w:val="16"/>
          <w:szCs w:val="16"/>
        </w:rPr>
        <w:t>Land Registration Act 2002</w:t>
      </w:r>
    </w:p>
  </w:footnote>
  <w:footnote w:id="15">
    <w:p w14:paraId="627F7F33" w14:textId="04B7E7D6" w:rsidR="007525BB" w:rsidRPr="007F6166" w:rsidRDefault="007525BB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 w:cs="Helvetica"/>
          <w:sz w:val="16"/>
          <w:szCs w:val="16"/>
        </w:rPr>
        <w:t xml:space="preserve">MJ Dixon, </w:t>
      </w:r>
      <w:r w:rsidRPr="007F6166">
        <w:rPr>
          <w:rFonts w:ascii="Times" w:hAnsi="Times" w:cs="Helvetica"/>
          <w:i/>
          <w:sz w:val="16"/>
          <w:szCs w:val="16"/>
        </w:rPr>
        <w:t>Modern Land Law</w:t>
      </w:r>
      <w:r w:rsidRPr="007F6166">
        <w:rPr>
          <w:rFonts w:ascii="Times" w:hAnsi="Times" w:cs="Helvetica"/>
          <w:sz w:val="16"/>
          <w:szCs w:val="16"/>
        </w:rPr>
        <w:t xml:space="preserve"> (3</w:t>
      </w:r>
      <w:r w:rsidRPr="007F6166">
        <w:rPr>
          <w:rFonts w:ascii="Times" w:hAnsi="Times" w:cs="Helvetica"/>
          <w:sz w:val="16"/>
          <w:szCs w:val="16"/>
          <w:vertAlign w:val="superscript"/>
        </w:rPr>
        <w:t>rd</w:t>
      </w:r>
      <w:r w:rsidRPr="007F6166">
        <w:rPr>
          <w:rFonts w:ascii="Times" w:hAnsi="Times" w:cs="Helvetica"/>
          <w:sz w:val="16"/>
          <w:szCs w:val="16"/>
        </w:rPr>
        <w:t xml:space="preserve"> edition, </w:t>
      </w:r>
      <w:proofErr w:type="spellStart"/>
      <w:r w:rsidRPr="007F6166">
        <w:rPr>
          <w:rFonts w:ascii="Times" w:hAnsi="Times" w:cs="Helvetica"/>
          <w:sz w:val="16"/>
          <w:szCs w:val="16"/>
        </w:rPr>
        <w:t>Routledge</w:t>
      </w:r>
      <w:proofErr w:type="spellEnd"/>
      <w:r w:rsidRPr="007F6166">
        <w:rPr>
          <w:rFonts w:ascii="Times" w:hAnsi="Times" w:cs="Helvetica"/>
          <w:sz w:val="16"/>
          <w:szCs w:val="16"/>
        </w:rPr>
        <w:t xml:space="preserve">, London, 2010) </w:t>
      </w:r>
    </w:p>
  </w:footnote>
  <w:footnote w:id="16">
    <w:p w14:paraId="6DA8A6D6" w14:textId="0A241CD3" w:rsidR="007525BB" w:rsidRPr="007F6166" w:rsidRDefault="007525BB" w:rsidP="00E8765B">
      <w:pPr>
        <w:pStyle w:val="FootnoteText"/>
        <w:contextualSpacing/>
        <w:rPr>
          <w:rFonts w:ascii="Times" w:hAnsi="Times"/>
          <w:sz w:val="16"/>
          <w:szCs w:val="16"/>
          <w:lang w:val="en-US"/>
        </w:rPr>
      </w:pPr>
      <w:r w:rsidRPr="007F6166">
        <w:rPr>
          <w:rStyle w:val="FootnoteReference"/>
          <w:rFonts w:ascii="Times" w:hAnsi="Times"/>
          <w:sz w:val="16"/>
          <w:szCs w:val="16"/>
        </w:rPr>
        <w:footnoteRef/>
      </w:r>
      <w:r w:rsidRPr="007F6166">
        <w:rPr>
          <w:rFonts w:ascii="Times" w:hAnsi="Times"/>
          <w:sz w:val="16"/>
          <w:szCs w:val="16"/>
        </w:rPr>
        <w:t xml:space="preserve"> </w:t>
      </w:r>
      <w:r w:rsidRPr="007F6166">
        <w:rPr>
          <w:rFonts w:ascii="Times" w:hAnsi="Times"/>
          <w:sz w:val="16"/>
          <w:szCs w:val="16"/>
          <w:lang w:val="en-US"/>
        </w:rPr>
        <w:t>M</w:t>
      </w:r>
      <w:r w:rsidRPr="007F6166">
        <w:rPr>
          <w:rFonts w:ascii="Times" w:hAnsi="Times" w:cs="Helvetica"/>
          <w:sz w:val="16"/>
          <w:szCs w:val="16"/>
        </w:rPr>
        <w:t xml:space="preserve"> B McFarlane and others, </w:t>
      </w:r>
      <w:r w:rsidRPr="007F6166">
        <w:rPr>
          <w:rFonts w:ascii="Times" w:hAnsi="Times" w:cs="Helvetica"/>
          <w:i/>
          <w:sz w:val="16"/>
          <w:szCs w:val="16"/>
        </w:rPr>
        <w:t>Land Law: Textbooks, Cases and Materials</w:t>
      </w:r>
      <w:r w:rsidRPr="007F6166">
        <w:rPr>
          <w:rFonts w:ascii="Times" w:hAnsi="Times" w:cs="Helvetica"/>
          <w:sz w:val="16"/>
          <w:szCs w:val="16"/>
        </w:rPr>
        <w:t xml:space="preserve"> (2</w:t>
      </w:r>
      <w:r w:rsidRPr="007F6166">
        <w:rPr>
          <w:rFonts w:ascii="Times" w:hAnsi="Times" w:cs="Helvetica"/>
          <w:sz w:val="16"/>
          <w:szCs w:val="16"/>
          <w:vertAlign w:val="superscript"/>
        </w:rPr>
        <w:t>nd</w:t>
      </w:r>
      <w:r w:rsidRPr="007F6166">
        <w:rPr>
          <w:rFonts w:ascii="Times" w:hAnsi="Times" w:cs="Helvetica"/>
          <w:sz w:val="16"/>
          <w:szCs w:val="16"/>
        </w:rPr>
        <w:t xml:space="preserve"> edition, OUP; Oxford, 2012)</w:t>
      </w:r>
    </w:p>
  </w:footnote>
  <w:footnote w:id="17">
    <w:p w14:paraId="0CA95F99" w14:textId="35660762" w:rsidR="0059281D" w:rsidRPr="0059281D" w:rsidRDefault="0059281D" w:rsidP="00E8765B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Helvetica"/>
          <w:sz w:val="16"/>
          <w:szCs w:val="16"/>
        </w:rPr>
      </w:pPr>
      <w:r w:rsidRPr="0059281D">
        <w:rPr>
          <w:rStyle w:val="FootnoteReference"/>
          <w:rFonts w:ascii="Times" w:hAnsi="Times"/>
          <w:sz w:val="16"/>
          <w:szCs w:val="16"/>
        </w:rPr>
        <w:footnoteRef/>
      </w:r>
      <w:r w:rsidRPr="0059281D">
        <w:rPr>
          <w:rFonts w:ascii="Times" w:hAnsi="Times"/>
          <w:sz w:val="16"/>
          <w:szCs w:val="16"/>
        </w:rPr>
        <w:t xml:space="preserve"> </w:t>
      </w:r>
      <w:r w:rsidRPr="0059281D">
        <w:rPr>
          <w:rFonts w:ascii="Times" w:hAnsi="Times" w:cs="Helvetica"/>
          <w:sz w:val="16"/>
          <w:szCs w:val="16"/>
        </w:rPr>
        <w:t xml:space="preserve">K </w:t>
      </w:r>
      <w:proofErr w:type="spellStart"/>
      <w:r w:rsidRPr="0059281D">
        <w:rPr>
          <w:rFonts w:ascii="Times" w:hAnsi="Times" w:cs="Helvetica"/>
          <w:sz w:val="16"/>
          <w:szCs w:val="16"/>
        </w:rPr>
        <w:t>Gray</w:t>
      </w:r>
      <w:proofErr w:type="spellEnd"/>
      <w:r w:rsidRPr="0059281D">
        <w:rPr>
          <w:rFonts w:ascii="Times" w:hAnsi="Times" w:cs="Helvetica"/>
          <w:sz w:val="16"/>
          <w:szCs w:val="16"/>
        </w:rPr>
        <w:t xml:space="preserve"> and SF </w:t>
      </w:r>
      <w:proofErr w:type="spellStart"/>
      <w:r w:rsidRPr="0059281D">
        <w:rPr>
          <w:rFonts w:ascii="Times" w:hAnsi="Times" w:cs="Helvetica"/>
          <w:sz w:val="16"/>
          <w:szCs w:val="16"/>
        </w:rPr>
        <w:t>Gray</w:t>
      </w:r>
      <w:proofErr w:type="spellEnd"/>
      <w:r w:rsidRPr="0059281D">
        <w:rPr>
          <w:rFonts w:ascii="Times" w:hAnsi="Times" w:cs="Helvetica"/>
          <w:sz w:val="16"/>
          <w:szCs w:val="16"/>
        </w:rPr>
        <w:t xml:space="preserve">, </w:t>
      </w:r>
      <w:r w:rsidRPr="0059281D">
        <w:rPr>
          <w:rFonts w:ascii="Times" w:hAnsi="Times" w:cs="Helvetica"/>
          <w:i/>
          <w:sz w:val="16"/>
          <w:szCs w:val="16"/>
        </w:rPr>
        <w:t>Land Law</w:t>
      </w:r>
      <w:r w:rsidRPr="0059281D">
        <w:rPr>
          <w:rFonts w:ascii="Times" w:hAnsi="Times" w:cs="Helvetica"/>
          <w:sz w:val="16"/>
          <w:szCs w:val="16"/>
        </w:rPr>
        <w:t xml:space="preserve"> (7</w:t>
      </w:r>
      <w:r w:rsidRPr="0059281D">
        <w:rPr>
          <w:rFonts w:ascii="Times" w:hAnsi="Times" w:cs="Helvetica"/>
          <w:sz w:val="16"/>
          <w:szCs w:val="16"/>
          <w:vertAlign w:val="superscript"/>
        </w:rPr>
        <w:t>th</w:t>
      </w:r>
      <w:r w:rsidRPr="0059281D">
        <w:rPr>
          <w:rFonts w:ascii="Times" w:hAnsi="Times" w:cs="Helvetica"/>
          <w:sz w:val="16"/>
          <w:szCs w:val="16"/>
        </w:rPr>
        <w:t xml:space="preserve"> edition, OUP, Oxford, 2011)</w:t>
      </w:r>
    </w:p>
  </w:footnote>
  <w:footnote w:id="18">
    <w:p w14:paraId="370EB0A8" w14:textId="77777777" w:rsidR="007525BB" w:rsidRPr="0059281D" w:rsidRDefault="007525BB" w:rsidP="00E8765B">
      <w:pPr>
        <w:spacing w:after="0" w:line="240" w:lineRule="auto"/>
        <w:contextualSpacing/>
        <w:rPr>
          <w:rFonts w:ascii="Times" w:hAnsi="Times"/>
          <w:sz w:val="16"/>
          <w:szCs w:val="16"/>
          <w:lang w:val="en-US"/>
        </w:rPr>
      </w:pPr>
      <w:r w:rsidRPr="0059281D">
        <w:rPr>
          <w:rStyle w:val="FootnoteReference"/>
          <w:rFonts w:ascii="Times" w:hAnsi="Times"/>
          <w:sz w:val="16"/>
          <w:szCs w:val="16"/>
        </w:rPr>
        <w:footnoteRef/>
      </w:r>
      <w:r w:rsidRPr="0059281D">
        <w:rPr>
          <w:rFonts w:ascii="Times" w:hAnsi="Times"/>
          <w:sz w:val="16"/>
          <w:szCs w:val="16"/>
        </w:rPr>
        <w:t xml:space="preserve"> </w:t>
      </w:r>
      <w:r w:rsidRPr="0059281D">
        <w:rPr>
          <w:rFonts w:ascii="Times" w:hAnsi="Times" w:cs="Helvetica"/>
          <w:sz w:val="16"/>
          <w:szCs w:val="16"/>
        </w:rPr>
        <w:t>F Burns, “</w:t>
      </w:r>
      <w:r w:rsidRPr="0059281D">
        <w:rPr>
          <w:rFonts w:ascii="Times" w:hAnsi="Times"/>
          <w:sz w:val="16"/>
          <w:szCs w:val="16"/>
        </w:rPr>
        <w:t>The Future of Prescriptive Easements in Australia and England”</w:t>
      </w:r>
      <w:r w:rsidRPr="0059281D">
        <w:rPr>
          <w:rFonts w:ascii="Times" w:hAnsi="Times"/>
          <w:sz w:val="16"/>
          <w:szCs w:val="16"/>
          <w:lang w:val="en-US"/>
        </w:rPr>
        <w:t xml:space="preserve"> (2007) Melbourne Law Review 4</w:t>
      </w:r>
    </w:p>
    <w:p w14:paraId="2FF95C0E" w14:textId="0BA4C549" w:rsidR="007525BB" w:rsidRPr="002942DB" w:rsidRDefault="007525BB">
      <w:pPr>
        <w:pStyle w:val="FootnoteText"/>
        <w:rPr>
          <w:rFonts w:ascii="Times" w:hAnsi="Times"/>
          <w:sz w:val="16"/>
          <w:szCs w:val="16"/>
          <w:lang w:val="en-US"/>
        </w:rPr>
      </w:pPr>
    </w:p>
  </w:footnote>
  <w:footnote w:id="19">
    <w:p w14:paraId="36AF463D" w14:textId="608821ED" w:rsidR="007525BB" w:rsidRPr="00CD2D77" w:rsidRDefault="007525BB" w:rsidP="00E8765B">
      <w:pPr>
        <w:pStyle w:val="FootnoteText"/>
        <w:rPr>
          <w:rFonts w:ascii="Times" w:hAnsi="Times"/>
          <w:sz w:val="16"/>
          <w:szCs w:val="16"/>
          <w:lang w:val="en-US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proofErr w:type="gramStart"/>
      <w:r>
        <w:rPr>
          <w:rFonts w:ascii="Times" w:hAnsi="Times"/>
          <w:sz w:val="16"/>
          <w:szCs w:val="16"/>
          <w:lang w:val="en-US"/>
        </w:rPr>
        <w:t>see</w:t>
      </w:r>
      <w:proofErr w:type="gramEnd"/>
      <w:r>
        <w:rPr>
          <w:rFonts w:ascii="Times" w:hAnsi="Times"/>
          <w:sz w:val="16"/>
          <w:szCs w:val="16"/>
          <w:lang w:val="en-US"/>
        </w:rPr>
        <w:t xml:space="preserve"> 2</w:t>
      </w:r>
    </w:p>
  </w:footnote>
  <w:footnote w:id="20">
    <w:p w14:paraId="0D9C354D" w14:textId="280777EF" w:rsidR="007525BB" w:rsidRPr="00CD2D77" w:rsidRDefault="007525BB" w:rsidP="00E8765B">
      <w:pPr>
        <w:pStyle w:val="FootnoteText"/>
        <w:rPr>
          <w:rFonts w:ascii="Times" w:hAnsi="Times"/>
          <w:sz w:val="16"/>
          <w:szCs w:val="16"/>
          <w:lang w:val="en-US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 w:cs="Helvetica"/>
          <w:sz w:val="16"/>
          <w:szCs w:val="16"/>
        </w:rPr>
        <w:t xml:space="preserve">This proves that the </w:t>
      </w:r>
      <w:r w:rsidRPr="00CD2D77">
        <w:rPr>
          <w:rFonts w:ascii="Times" w:hAnsi="Times" w:cs="Helvetica"/>
          <w:sz w:val="16"/>
          <w:szCs w:val="16"/>
        </w:rPr>
        <w:t>Torrens System</w:t>
      </w:r>
      <w:r>
        <w:rPr>
          <w:rFonts w:ascii="Times" w:hAnsi="Times" w:cs="Helvetica"/>
          <w:sz w:val="16"/>
          <w:szCs w:val="16"/>
        </w:rPr>
        <w:t xml:space="preserve">, is successful only if the mirror, insurance and curtain principle work together </w:t>
      </w:r>
    </w:p>
  </w:footnote>
  <w:footnote w:id="21">
    <w:p w14:paraId="6FA70991" w14:textId="52E94B2B" w:rsidR="007525BB" w:rsidRPr="00CD2D77" w:rsidRDefault="007525BB" w:rsidP="00E8765B">
      <w:pPr>
        <w:spacing w:after="0" w:line="240" w:lineRule="auto"/>
        <w:rPr>
          <w:rFonts w:ascii="Times" w:hAnsi="Times" w:cs="Helvetica"/>
          <w:sz w:val="16"/>
          <w:szCs w:val="16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r w:rsidRPr="00CD2D77">
        <w:rPr>
          <w:rFonts w:ascii="Times" w:eastAsiaTheme="minorEastAsia" w:hAnsi="Times" w:cs="Arial"/>
          <w:sz w:val="16"/>
          <w:szCs w:val="16"/>
          <w:lang w:val="en-US"/>
        </w:rPr>
        <w:t xml:space="preserve">E Cooke, ‘The Register’s Guarantee of Title’ (2013) </w:t>
      </w:r>
      <w:proofErr w:type="spellStart"/>
      <w:r w:rsidRPr="00CD2D77">
        <w:rPr>
          <w:rFonts w:ascii="Times" w:eastAsiaTheme="minorEastAsia" w:hAnsi="Times" w:cs="Arial"/>
          <w:sz w:val="16"/>
          <w:szCs w:val="16"/>
          <w:lang w:val="en-US"/>
        </w:rPr>
        <w:t>Convenyancer</w:t>
      </w:r>
      <w:proofErr w:type="spellEnd"/>
      <w:r w:rsidRPr="00CD2D77">
        <w:rPr>
          <w:rFonts w:ascii="Times" w:eastAsiaTheme="minorEastAsia" w:hAnsi="Times" w:cs="Arial"/>
          <w:sz w:val="16"/>
          <w:szCs w:val="16"/>
          <w:lang w:val="en-US"/>
        </w:rPr>
        <w:t xml:space="preserve"> 344</w:t>
      </w:r>
    </w:p>
  </w:footnote>
  <w:footnote w:id="22">
    <w:p w14:paraId="4F912DCA" w14:textId="1CE83281" w:rsidR="007525BB" w:rsidRPr="00CD2D77" w:rsidRDefault="007525BB" w:rsidP="00E8765B">
      <w:pPr>
        <w:spacing w:after="0" w:line="240" w:lineRule="auto"/>
        <w:rPr>
          <w:rFonts w:ascii="Times" w:hAnsi="Times"/>
          <w:sz w:val="16"/>
          <w:szCs w:val="16"/>
          <w:lang w:val="en-US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proofErr w:type="gramStart"/>
      <w:r w:rsidRPr="00CD2D77">
        <w:rPr>
          <w:rFonts w:ascii="Times" w:hAnsi="Times"/>
          <w:bCs/>
          <w:i/>
          <w:sz w:val="16"/>
          <w:szCs w:val="16"/>
          <w:lang w:val="en-US"/>
        </w:rPr>
        <w:t>Fitzwilliam v Richall</w:t>
      </w:r>
      <w:r w:rsidRPr="00CD2D77">
        <w:rPr>
          <w:rFonts w:ascii="Times" w:hAnsi="Times"/>
          <w:i/>
          <w:sz w:val="16"/>
          <w:szCs w:val="16"/>
          <w:lang w:val="en-US"/>
        </w:rPr>
        <w:t xml:space="preserve"> Holdings Services.</w:t>
      </w:r>
      <w:proofErr w:type="gramEnd"/>
      <w:r w:rsidRPr="00CD2D77">
        <w:rPr>
          <w:rFonts w:ascii="Times" w:hAnsi="Times"/>
          <w:i/>
          <w:sz w:val="16"/>
          <w:szCs w:val="16"/>
          <w:lang w:val="en-US"/>
        </w:rPr>
        <w:t xml:space="preserve"> Ltd</w:t>
      </w:r>
      <w:r w:rsidRPr="00CD2D77">
        <w:rPr>
          <w:rFonts w:ascii="Times" w:hAnsi="Times"/>
          <w:sz w:val="16"/>
          <w:szCs w:val="16"/>
          <w:lang w:val="en-US"/>
        </w:rPr>
        <w:t xml:space="preserve"> [2013] EWHC 86 (</w:t>
      </w:r>
      <w:proofErr w:type="spellStart"/>
      <w:r w:rsidRPr="00CD2D77">
        <w:rPr>
          <w:rFonts w:ascii="Times" w:hAnsi="Times"/>
          <w:sz w:val="16"/>
          <w:szCs w:val="16"/>
          <w:lang w:val="en-US"/>
        </w:rPr>
        <w:t>Ch</w:t>
      </w:r>
      <w:proofErr w:type="spellEnd"/>
      <w:r w:rsidRPr="00CD2D77">
        <w:rPr>
          <w:rFonts w:ascii="Times" w:hAnsi="Times"/>
          <w:sz w:val="16"/>
          <w:szCs w:val="16"/>
          <w:lang w:val="en-US"/>
        </w:rPr>
        <w:t>)</w:t>
      </w:r>
    </w:p>
  </w:footnote>
  <w:footnote w:id="23">
    <w:p w14:paraId="212A5097" w14:textId="2A13C5C9" w:rsidR="007525BB" w:rsidRPr="00CD2D77" w:rsidRDefault="007525BB" w:rsidP="00E8765B">
      <w:pPr>
        <w:spacing w:after="0" w:line="240" w:lineRule="auto"/>
        <w:rPr>
          <w:rFonts w:ascii="Times" w:hAnsi="Times"/>
          <w:sz w:val="16"/>
          <w:szCs w:val="16"/>
          <w:lang w:val="en-US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  <w:lang w:val="en-US"/>
        </w:rPr>
        <w:t xml:space="preserve"> </w:t>
      </w:r>
      <w:proofErr w:type="gramStart"/>
      <w:r w:rsidRPr="00CD2D77">
        <w:rPr>
          <w:rFonts w:ascii="Times" w:hAnsi="Times"/>
          <w:bCs/>
          <w:i/>
          <w:sz w:val="16"/>
          <w:szCs w:val="16"/>
          <w:lang w:val="en-US"/>
        </w:rPr>
        <w:t>Malory</w:t>
      </w:r>
      <w:r w:rsidRPr="00CD2D77">
        <w:rPr>
          <w:rFonts w:ascii="Times" w:hAnsi="Times"/>
          <w:i/>
          <w:sz w:val="16"/>
          <w:szCs w:val="16"/>
          <w:lang w:val="en-US"/>
        </w:rPr>
        <w:t xml:space="preserve"> Enterprises Ltd </w:t>
      </w:r>
      <w:r w:rsidRPr="00CD2D77">
        <w:rPr>
          <w:rFonts w:ascii="Times" w:hAnsi="Times"/>
          <w:bCs/>
          <w:i/>
          <w:sz w:val="16"/>
          <w:szCs w:val="16"/>
          <w:lang w:val="en-US"/>
        </w:rPr>
        <w:t>v Cheshire Homes</w:t>
      </w:r>
      <w:r w:rsidRPr="00CD2D77">
        <w:rPr>
          <w:rFonts w:ascii="Times" w:hAnsi="Times"/>
          <w:i/>
          <w:sz w:val="16"/>
          <w:szCs w:val="16"/>
          <w:lang w:val="en-US"/>
        </w:rPr>
        <w:t xml:space="preserve"> (UK).</w:t>
      </w:r>
      <w:proofErr w:type="gramEnd"/>
      <w:r w:rsidRPr="00CD2D77">
        <w:rPr>
          <w:rFonts w:ascii="Times" w:hAnsi="Times"/>
          <w:i/>
          <w:sz w:val="16"/>
          <w:szCs w:val="16"/>
          <w:lang w:val="en-US"/>
        </w:rPr>
        <w:t xml:space="preserve"> Ltd</w:t>
      </w:r>
      <w:r w:rsidRPr="00CD2D77">
        <w:rPr>
          <w:rFonts w:ascii="Times" w:hAnsi="Times"/>
          <w:sz w:val="16"/>
          <w:szCs w:val="16"/>
          <w:lang w:val="en-US"/>
        </w:rPr>
        <w:t xml:space="preserve"> [</w:t>
      </w:r>
      <w:r w:rsidRPr="00CD2D77">
        <w:rPr>
          <w:rFonts w:ascii="Times" w:hAnsi="Times"/>
          <w:bCs/>
          <w:sz w:val="16"/>
          <w:szCs w:val="16"/>
          <w:lang w:val="en-US"/>
        </w:rPr>
        <w:t>2002</w:t>
      </w:r>
      <w:r>
        <w:rPr>
          <w:rFonts w:ascii="Times" w:hAnsi="Times"/>
          <w:sz w:val="16"/>
          <w:szCs w:val="16"/>
          <w:lang w:val="en-US"/>
        </w:rPr>
        <w:t xml:space="preserve">] EWCA </w:t>
      </w:r>
      <w:proofErr w:type="spellStart"/>
      <w:r>
        <w:rPr>
          <w:rFonts w:ascii="Times" w:hAnsi="Times"/>
          <w:sz w:val="16"/>
          <w:szCs w:val="16"/>
          <w:lang w:val="en-US"/>
        </w:rPr>
        <w:t>Civ</w:t>
      </w:r>
      <w:proofErr w:type="spellEnd"/>
      <w:r>
        <w:rPr>
          <w:rFonts w:ascii="Times" w:hAnsi="Times"/>
          <w:sz w:val="16"/>
          <w:szCs w:val="16"/>
          <w:lang w:val="en-US"/>
        </w:rPr>
        <w:t xml:space="preserve"> 151. Some academics, including Dixon and Cooke claim that </w:t>
      </w:r>
      <w:r w:rsidRPr="00906BC7">
        <w:rPr>
          <w:rFonts w:ascii="Times" w:hAnsi="Times"/>
          <w:i/>
          <w:sz w:val="16"/>
          <w:szCs w:val="16"/>
          <w:lang w:val="en-US"/>
        </w:rPr>
        <w:t>Fitzwilliam</w:t>
      </w:r>
      <w:r>
        <w:rPr>
          <w:rFonts w:ascii="Times" w:hAnsi="Times"/>
          <w:sz w:val="16"/>
          <w:szCs w:val="16"/>
          <w:lang w:val="en-US"/>
        </w:rPr>
        <w:t xml:space="preserve"> should have distinguished Malory</w:t>
      </w:r>
    </w:p>
  </w:footnote>
  <w:footnote w:id="24">
    <w:p w14:paraId="56B0F617" w14:textId="60B8CA38" w:rsidR="007525BB" w:rsidRPr="00CD2D77" w:rsidRDefault="007525BB" w:rsidP="00E8765B">
      <w:pPr>
        <w:spacing w:after="0" w:line="240" w:lineRule="auto"/>
        <w:rPr>
          <w:rFonts w:ascii="Times" w:hAnsi="Times" w:cs="Helvetica"/>
          <w:sz w:val="16"/>
          <w:szCs w:val="16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r w:rsidRPr="00CD2D77">
        <w:rPr>
          <w:rFonts w:ascii="Times" w:hAnsi="Times"/>
          <w:i/>
          <w:sz w:val="16"/>
          <w:szCs w:val="16"/>
          <w:lang w:val="en-US"/>
        </w:rPr>
        <w:t xml:space="preserve">Abbey National Building Society v </w:t>
      </w:r>
      <w:proofErr w:type="spellStart"/>
      <w:r w:rsidRPr="00CD2D77">
        <w:rPr>
          <w:rFonts w:ascii="Times" w:hAnsi="Times"/>
          <w:bCs/>
          <w:i/>
          <w:sz w:val="16"/>
          <w:szCs w:val="16"/>
          <w:lang w:val="en-US"/>
        </w:rPr>
        <w:t>Cann</w:t>
      </w:r>
      <w:proofErr w:type="spellEnd"/>
      <w:r w:rsidRPr="00CD2D77">
        <w:rPr>
          <w:rFonts w:ascii="Times" w:hAnsi="Times"/>
          <w:sz w:val="16"/>
          <w:szCs w:val="16"/>
          <w:lang w:val="en-US"/>
        </w:rPr>
        <w:t xml:space="preserve"> [1991] AC 56</w:t>
      </w:r>
    </w:p>
  </w:footnote>
  <w:footnote w:id="25">
    <w:p w14:paraId="183B50B8" w14:textId="6A084755" w:rsidR="007525BB" w:rsidRPr="00CD2D77" w:rsidRDefault="007525BB" w:rsidP="00E8765B">
      <w:pPr>
        <w:pStyle w:val="FootnoteText"/>
        <w:rPr>
          <w:rFonts w:ascii="Times" w:hAnsi="Times"/>
          <w:sz w:val="16"/>
          <w:szCs w:val="16"/>
          <w:lang w:val="en-US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r w:rsidRPr="00CD2D77">
        <w:rPr>
          <w:rFonts w:ascii="Times" w:hAnsi="Times" w:cs="Helvetica"/>
          <w:sz w:val="16"/>
          <w:szCs w:val="16"/>
        </w:rPr>
        <w:t>(ibid)</w:t>
      </w:r>
    </w:p>
  </w:footnote>
  <w:footnote w:id="26">
    <w:p w14:paraId="3079DDCA" w14:textId="1E474279" w:rsidR="007525BB" w:rsidRPr="00CD2D77" w:rsidRDefault="007525BB" w:rsidP="00E8765B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16"/>
          <w:szCs w:val="16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 w:cs="Helvetica"/>
          <w:sz w:val="16"/>
          <w:szCs w:val="16"/>
        </w:rPr>
        <w:t xml:space="preserve"> D Cowan and others, </w:t>
      </w:r>
      <w:r w:rsidRPr="00CD2D77">
        <w:rPr>
          <w:rFonts w:ascii="Times" w:hAnsi="Times"/>
          <w:i/>
          <w:sz w:val="16"/>
          <w:szCs w:val="16"/>
        </w:rPr>
        <w:t>Great Debates in Property Law (</w:t>
      </w:r>
      <w:r w:rsidRPr="00CD2D77">
        <w:rPr>
          <w:rFonts w:ascii="Times" w:eastAsiaTheme="minorEastAsia" w:hAnsi="Times" w:cs="Arial"/>
          <w:bCs/>
          <w:color w:val="0E0E0E"/>
          <w:sz w:val="16"/>
          <w:szCs w:val="16"/>
          <w:lang w:val="en-US"/>
        </w:rPr>
        <w:t>1</w:t>
      </w:r>
      <w:r w:rsidRPr="00CD2D77">
        <w:rPr>
          <w:rFonts w:ascii="Times" w:eastAsiaTheme="minorEastAsia" w:hAnsi="Times" w:cs="Arial"/>
          <w:bCs/>
          <w:color w:val="0E0E0E"/>
          <w:sz w:val="16"/>
          <w:szCs w:val="16"/>
          <w:vertAlign w:val="superscript"/>
          <w:lang w:val="en-US"/>
        </w:rPr>
        <w:t>st</w:t>
      </w:r>
      <w:r w:rsidRPr="00CD2D77">
        <w:rPr>
          <w:rFonts w:ascii="Times" w:eastAsiaTheme="minorEastAsia" w:hAnsi="Times" w:cs="Arial"/>
          <w:bCs/>
          <w:color w:val="0E0E0E"/>
          <w:sz w:val="16"/>
          <w:szCs w:val="16"/>
          <w:lang w:val="en-US"/>
        </w:rPr>
        <w:t xml:space="preserve"> edition, Palgrave, London, 2012)</w:t>
      </w:r>
    </w:p>
  </w:footnote>
  <w:footnote w:id="27">
    <w:p w14:paraId="7592BEF8" w14:textId="7B65CFB5" w:rsidR="007525BB" w:rsidRPr="00906BC7" w:rsidRDefault="007525BB" w:rsidP="00E8765B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16"/>
          <w:szCs w:val="16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r w:rsidRPr="00906BC7">
        <w:rPr>
          <w:rFonts w:ascii="Times" w:hAnsi="Times" w:cs="Helvetica"/>
          <w:sz w:val="16"/>
          <w:szCs w:val="16"/>
        </w:rPr>
        <w:t xml:space="preserve">MP Thompson, </w:t>
      </w:r>
      <w:r w:rsidRPr="00906BC7">
        <w:rPr>
          <w:rFonts w:ascii="Times" w:hAnsi="Times" w:cs="Helvetica"/>
          <w:i/>
          <w:sz w:val="16"/>
          <w:szCs w:val="16"/>
        </w:rPr>
        <w:t>Modern Land Law</w:t>
      </w:r>
      <w:r w:rsidRPr="00906BC7">
        <w:rPr>
          <w:rFonts w:ascii="Times" w:hAnsi="Times" w:cs="Helvetica"/>
          <w:sz w:val="16"/>
          <w:szCs w:val="16"/>
        </w:rPr>
        <w:t xml:space="preserve"> (5</w:t>
      </w:r>
      <w:r w:rsidRPr="00906BC7">
        <w:rPr>
          <w:rFonts w:ascii="Times" w:hAnsi="Times" w:cs="Helvetica"/>
          <w:sz w:val="16"/>
          <w:szCs w:val="16"/>
          <w:vertAlign w:val="superscript"/>
        </w:rPr>
        <w:t>th</w:t>
      </w:r>
      <w:r w:rsidRPr="00906BC7">
        <w:rPr>
          <w:rFonts w:ascii="Times" w:hAnsi="Times" w:cs="Helvetica"/>
          <w:sz w:val="16"/>
          <w:szCs w:val="16"/>
        </w:rPr>
        <w:t xml:space="preserve"> edition, OUP, Oxford, 2012)</w:t>
      </w:r>
    </w:p>
  </w:footnote>
  <w:footnote w:id="28">
    <w:p w14:paraId="66936C16" w14:textId="7C6CB799" w:rsidR="007525BB" w:rsidRPr="00CD2D77" w:rsidRDefault="007525BB" w:rsidP="00E8765B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b/>
          <w:sz w:val="16"/>
          <w:szCs w:val="16"/>
          <w:u w:val="single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r w:rsidRPr="00CD2D77">
        <w:rPr>
          <w:rFonts w:ascii="Times" w:hAnsi="Times" w:cs="Helvetica"/>
          <w:sz w:val="16"/>
          <w:szCs w:val="16"/>
        </w:rPr>
        <w:t>Land Registration Act 2002</w:t>
      </w:r>
    </w:p>
  </w:footnote>
  <w:footnote w:id="29">
    <w:p w14:paraId="57F33D14" w14:textId="06496A11" w:rsidR="007525BB" w:rsidRPr="00CD2D77" w:rsidRDefault="007525BB" w:rsidP="00E8765B">
      <w:pPr>
        <w:spacing w:after="0" w:line="240" w:lineRule="auto"/>
        <w:rPr>
          <w:rFonts w:ascii="Times" w:hAnsi="Times" w:cs="Helvetica"/>
          <w:sz w:val="16"/>
          <w:szCs w:val="16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r w:rsidRPr="00CD2D77">
        <w:rPr>
          <w:rFonts w:ascii="Times" w:hAnsi="Times" w:cs="Helvetica"/>
          <w:sz w:val="16"/>
          <w:szCs w:val="16"/>
        </w:rPr>
        <w:t xml:space="preserve">T </w:t>
      </w:r>
      <w:proofErr w:type="spellStart"/>
      <w:r w:rsidRPr="00CD2D77">
        <w:rPr>
          <w:rFonts w:ascii="Times" w:hAnsi="Times" w:cs="Helvetica"/>
          <w:sz w:val="16"/>
          <w:szCs w:val="16"/>
        </w:rPr>
        <w:t>Ruoff</w:t>
      </w:r>
      <w:proofErr w:type="spellEnd"/>
      <w:r w:rsidRPr="00CD2D77">
        <w:rPr>
          <w:rFonts w:ascii="Times" w:hAnsi="Times" w:cs="Helvetica"/>
          <w:sz w:val="16"/>
          <w:szCs w:val="16"/>
        </w:rPr>
        <w:t xml:space="preserve">, </w:t>
      </w:r>
      <w:r w:rsidRPr="00CD2D77">
        <w:rPr>
          <w:rFonts w:ascii="Times" w:hAnsi="Times" w:cs="Helvetica"/>
          <w:i/>
          <w:sz w:val="16"/>
          <w:szCs w:val="16"/>
        </w:rPr>
        <w:t xml:space="preserve">An </w:t>
      </w:r>
      <w:r w:rsidRPr="00CD2D77">
        <w:rPr>
          <w:rFonts w:ascii="Times" w:hAnsi="Times"/>
          <w:i/>
          <w:sz w:val="16"/>
          <w:szCs w:val="16"/>
          <w:lang w:val="en-US"/>
        </w:rPr>
        <w:t>Englishman Looks at the Torrens System</w:t>
      </w:r>
      <w:r w:rsidRPr="00CD2D77">
        <w:rPr>
          <w:rFonts w:ascii="Times" w:hAnsi="Times"/>
          <w:sz w:val="16"/>
          <w:szCs w:val="16"/>
          <w:lang w:val="en-US"/>
        </w:rPr>
        <w:t xml:space="preserve"> (</w:t>
      </w:r>
      <w:r w:rsidRPr="00CD2D77">
        <w:rPr>
          <w:rFonts w:ascii="Times" w:eastAsiaTheme="minorEastAsia" w:hAnsi="Times" w:cs="Verdana"/>
          <w:sz w:val="16"/>
          <w:szCs w:val="16"/>
          <w:lang w:val="en-US"/>
        </w:rPr>
        <w:t>Law Book Co of Australasia, 1957</w:t>
      </w:r>
      <w:r w:rsidRPr="00CD2D77">
        <w:rPr>
          <w:rFonts w:ascii="Times" w:eastAsiaTheme="minorEastAsia" w:hAnsi="Times" w:cs="Verdana"/>
          <w:color w:val="262626"/>
          <w:sz w:val="16"/>
          <w:szCs w:val="16"/>
          <w:lang w:val="en-US"/>
        </w:rPr>
        <w:t xml:space="preserve">), </w:t>
      </w:r>
      <w:r w:rsidRPr="00CD2D77">
        <w:rPr>
          <w:rFonts w:ascii="Times" w:hAnsi="Times"/>
          <w:sz w:val="16"/>
          <w:szCs w:val="16"/>
        </w:rPr>
        <w:t>that are a matter of common knowledge</w:t>
      </w:r>
    </w:p>
  </w:footnote>
  <w:footnote w:id="30">
    <w:p w14:paraId="2BC46187" w14:textId="658D7391" w:rsidR="007525BB" w:rsidRPr="00CD2D77" w:rsidRDefault="007525BB" w:rsidP="00E8765B">
      <w:pPr>
        <w:spacing w:after="0" w:line="240" w:lineRule="auto"/>
        <w:rPr>
          <w:rFonts w:ascii="Times" w:hAnsi="Times" w:cs="Helvetica"/>
          <w:sz w:val="16"/>
          <w:szCs w:val="16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r w:rsidRPr="00CD2D77">
        <w:rPr>
          <w:rFonts w:ascii="Times" w:hAnsi="Times" w:cs="Helvetica"/>
          <w:sz w:val="16"/>
          <w:szCs w:val="16"/>
        </w:rPr>
        <w:t xml:space="preserve">G </w:t>
      </w:r>
      <w:proofErr w:type="spellStart"/>
      <w:r w:rsidRPr="00CD2D77">
        <w:rPr>
          <w:rFonts w:ascii="Times" w:hAnsi="Times" w:cs="Helvetica"/>
          <w:sz w:val="16"/>
          <w:szCs w:val="16"/>
        </w:rPr>
        <w:t>Dworkin</w:t>
      </w:r>
      <w:proofErr w:type="spellEnd"/>
      <w:r w:rsidRPr="00CD2D77">
        <w:rPr>
          <w:rFonts w:ascii="Times" w:hAnsi="Times" w:cs="Helvetica"/>
          <w:sz w:val="16"/>
          <w:szCs w:val="16"/>
        </w:rPr>
        <w:t>, “</w:t>
      </w:r>
      <w:r w:rsidRPr="00CD2D77">
        <w:rPr>
          <w:rFonts w:ascii="Times" w:hAnsi="Times"/>
          <w:sz w:val="16"/>
          <w:szCs w:val="16"/>
        </w:rPr>
        <w:t>Registered Land Reform” (1961) 24 MLR 135</w:t>
      </w:r>
    </w:p>
  </w:footnote>
  <w:footnote w:id="31">
    <w:p w14:paraId="71E3689C" w14:textId="3C311CBD" w:rsidR="00E8765B" w:rsidRPr="00E8765B" w:rsidRDefault="007525BB" w:rsidP="00E8765B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16"/>
          <w:szCs w:val="16"/>
        </w:rPr>
      </w:pPr>
      <w:r w:rsidRPr="00CD2D77">
        <w:rPr>
          <w:rStyle w:val="FootnoteReference"/>
          <w:rFonts w:ascii="Times" w:hAnsi="Times"/>
          <w:sz w:val="16"/>
          <w:szCs w:val="16"/>
        </w:rPr>
        <w:footnoteRef/>
      </w:r>
      <w:r w:rsidRPr="00CD2D77">
        <w:rPr>
          <w:rFonts w:ascii="Times" w:hAnsi="Times"/>
          <w:sz w:val="16"/>
          <w:szCs w:val="16"/>
        </w:rPr>
        <w:t xml:space="preserve"> </w:t>
      </w:r>
      <w:r w:rsidRPr="00CD2D77">
        <w:rPr>
          <w:rFonts w:ascii="Times" w:hAnsi="Times" w:cs="Helvetica"/>
          <w:sz w:val="16"/>
          <w:szCs w:val="16"/>
        </w:rPr>
        <w:t xml:space="preserve">B McFarlane and others, </w:t>
      </w:r>
      <w:r w:rsidRPr="00CD2D77">
        <w:rPr>
          <w:rFonts w:ascii="Times" w:hAnsi="Times" w:cs="Helvetica"/>
          <w:i/>
          <w:sz w:val="16"/>
          <w:szCs w:val="16"/>
        </w:rPr>
        <w:t>Land Law: Textbooks, Cases and Materials</w:t>
      </w:r>
      <w:r w:rsidRPr="00CD2D77">
        <w:rPr>
          <w:rFonts w:ascii="Times" w:hAnsi="Times" w:cs="Helvetica"/>
          <w:sz w:val="16"/>
          <w:szCs w:val="16"/>
        </w:rPr>
        <w:t xml:space="preserve"> (2</w:t>
      </w:r>
      <w:r w:rsidRPr="00CD2D77">
        <w:rPr>
          <w:rFonts w:ascii="Times" w:hAnsi="Times" w:cs="Helvetica"/>
          <w:sz w:val="16"/>
          <w:szCs w:val="16"/>
          <w:vertAlign w:val="superscript"/>
        </w:rPr>
        <w:t>nd</w:t>
      </w:r>
      <w:r w:rsidRPr="00CD2D77">
        <w:rPr>
          <w:rFonts w:ascii="Times" w:hAnsi="Times" w:cs="Helvetica"/>
          <w:sz w:val="16"/>
          <w:szCs w:val="16"/>
        </w:rPr>
        <w:t xml:space="preserve"> edition, OUP; Oxford, 2012)</w:t>
      </w:r>
    </w:p>
  </w:footnote>
  <w:footnote w:id="32">
    <w:p w14:paraId="71260852" w14:textId="69C4DF43" w:rsidR="007525BB" w:rsidRPr="006C2E17" w:rsidRDefault="007525BB" w:rsidP="00E8765B">
      <w:pPr>
        <w:spacing w:after="0" w:line="240" w:lineRule="auto"/>
        <w:rPr>
          <w:rFonts w:ascii="Times" w:hAnsi="Times"/>
          <w:sz w:val="16"/>
          <w:szCs w:val="16"/>
          <w:lang w:val="en-US"/>
        </w:rPr>
      </w:pPr>
      <w:r w:rsidRPr="006C2E17">
        <w:rPr>
          <w:rStyle w:val="FootnoteReference"/>
          <w:rFonts w:ascii="Times" w:hAnsi="Times"/>
          <w:sz w:val="16"/>
          <w:szCs w:val="16"/>
        </w:rPr>
        <w:footnoteRef/>
      </w:r>
      <w:r w:rsidRPr="006C2E17">
        <w:rPr>
          <w:rFonts w:ascii="Times" w:hAnsi="Times"/>
          <w:sz w:val="16"/>
          <w:szCs w:val="16"/>
        </w:rPr>
        <w:t xml:space="preserve"> </w:t>
      </w:r>
      <w:r w:rsidRPr="006C2E17">
        <w:rPr>
          <w:rFonts w:ascii="Times" w:hAnsi="Times"/>
          <w:i/>
          <w:sz w:val="16"/>
          <w:szCs w:val="16"/>
          <w:lang w:val="en-US"/>
        </w:rPr>
        <w:t>Williams &amp; Glyn's Bank v Boland</w:t>
      </w:r>
      <w:r w:rsidRPr="006C2E17">
        <w:rPr>
          <w:rFonts w:ascii="Times" w:hAnsi="Times"/>
          <w:sz w:val="16"/>
          <w:szCs w:val="16"/>
          <w:lang w:val="en-US"/>
        </w:rPr>
        <w:t xml:space="preserve"> [1980] UKHL 4</w:t>
      </w:r>
    </w:p>
  </w:footnote>
  <w:footnote w:id="33">
    <w:p w14:paraId="2E78ABF8" w14:textId="6CC2F34F" w:rsidR="007525BB" w:rsidRPr="008570B1" w:rsidRDefault="007525BB" w:rsidP="008570B1">
      <w:pPr>
        <w:spacing w:line="240" w:lineRule="auto"/>
        <w:rPr>
          <w:rFonts w:ascii="Times" w:hAnsi="Times" w:cs="Helvetica"/>
          <w:sz w:val="16"/>
          <w:szCs w:val="16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 w:cs="Helvetica"/>
          <w:sz w:val="16"/>
          <w:szCs w:val="16"/>
        </w:rPr>
        <w:t xml:space="preserve">G </w:t>
      </w:r>
      <w:proofErr w:type="spellStart"/>
      <w:r w:rsidRPr="008570B1">
        <w:rPr>
          <w:rFonts w:ascii="Times" w:hAnsi="Times" w:cs="Helvetica"/>
          <w:sz w:val="16"/>
          <w:szCs w:val="16"/>
        </w:rPr>
        <w:t>Dworkin</w:t>
      </w:r>
      <w:proofErr w:type="spellEnd"/>
      <w:r w:rsidRPr="008570B1">
        <w:rPr>
          <w:rFonts w:ascii="Times" w:hAnsi="Times" w:cs="Helvetica"/>
          <w:sz w:val="16"/>
          <w:szCs w:val="16"/>
        </w:rPr>
        <w:t>, “</w:t>
      </w:r>
      <w:r w:rsidRPr="008570B1">
        <w:rPr>
          <w:rFonts w:ascii="Times" w:hAnsi="Times"/>
          <w:sz w:val="16"/>
          <w:szCs w:val="16"/>
        </w:rPr>
        <w:t>Registered Land Reform” (1961) 24 MLR 135</w:t>
      </w:r>
    </w:p>
  </w:footnote>
  <w:footnote w:id="34">
    <w:p w14:paraId="46CDD170" w14:textId="13F09C35" w:rsidR="007525BB" w:rsidRPr="008570B1" w:rsidRDefault="007525BB" w:rsidP="00AC696C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16"/>
          <w:szCs w:val="16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 w:cs="Helvetica"/>
          <w:sz w:val="16"/>
          <w:szCs w:val="16"/>
        </w:rPr>
        <w:t xml:space="preserve">MP Thompson, </w:t>
      </w:r>
      <w:r w:rsidRPr="008570B1">
        <w:rPr>
          <w:rFonts w:ascii="Times" w:hAnsi="Times" w:cs="Helvetica"/>
          <w:i/>
          <w:sz w:val="16"/>
          <w:szCs w:val="16"/>
        </w:rPr>
        <w:t>Modern Land Law</w:t>
      </w:r>
      <w:r w:rsidRPr="008570B1">
        <w:rPr>
          <w:rFonts w:ascii="Times" w:hAnsi="Times" w:cs="Helvetica"/>
          <w:sz w:val="16"/>
          <w:szCs w:val="16"/>
        </w:rPr>
        <w:t xml:space="preserve"> (5</w:t>
      </w:r>
      <w:r w:rsidRPr="008570B1">
        <w:rPr>
          <w:rFonts w:ascii="Times" w:hAnsi="Times" w:cs="Helvetica"/>
          <w:sz w:val="16"/>
          <w:szCs w:val="16"/>
          <w:vertAlign w:val="superscript"/>
        </w:rPr>
        <w:t>th</w:t>
      </w:r>
      <w:r w:rsidRPr="008570B1">
        <w:rPr>
          <w:rFonts w:ascii="Times" w:hAnsi="Times" w:cs="Helvetica"/>
          <w:sz w:val="16"/>
          <w:szCs w:val="16"/>
        </w:rPr>
        <w:t xml:space="preserve"> edition, OUP, Oxford, 2012) Even though the Law Commission discussed the abolishment of overriding interests,</w:t>
      </w:r>
    </w:p>
  </w:footnote>
  <w:footnote w:id="35">
    <w:p w14:paraId="1BBA77A3" w14:textId="206BA9D8" w:rsidR="007525BB" w:rsidRPr="008570B1" w:rsidRDefault="007525BB" w:rsidP="00AC696C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16"/>
          <w:szCs w:val="16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 w:cs="Helvetica"/>
          <w:sz w:val="16"/>
          <w:szCs w:val="16"/>
        </w:rPr>
        <w:t xml:space="preserve">MJ Dixon, </w:t>
      </w:r>
      <w:r w:rsidRPr="008570B1">
        <w:rPr>
          <w:rFonts w:ascii="Times" w:hAnsi="Times" w:cs="Helvetica"/>
          <w:i/>
          <w:sz w:val="16"/>
          <w:szCs w:val="16"/>
        </w:rPr>
        <w:t>Modern Land Law</w:t>
      </w:r>
      <w:r w:rsidRPr="008570B1">
        <w:rPr>
          <w:rFonts w:ascii="Times" w:hAnsi="Times" w:cs="Helvetica"/>
          <w:sz w:val="16"/>
          <w:szCs w:val="16"/>
        </w:rPr>
        <w:t xml:space="preserve"> (3</w:t>
      </w:r>
      <w:r w:rsidRPr="008570B1">
        <w:rPr>
          <w:rFonts w:ascii="Times" w:hAnsi="Times" w:cs="Helvetica"/>
          <w:sz w:val="16"/>
          <w:szCs w:val="16"/>
          <w:vertAlign w:val="superscript"/>
        </w:rPr>
        <w:t>rd</w:t>
      </w:r>
      <w:r w:rsidRPr="008570B1">
        <w:rPr>
          <w:rFonts w:ascii="Times" w:hAnsi="Times" w:cs="Helvetica"/>
          <w:sz w:val="16"/>
          <w:szCs w:val="16"/>
        </w:rPr>
        <w:t xml:space="preserve"> edition, </w:t>
      </w:r>
      <w:proofErr w:type="spellStart"/>
      <w:r w:rsidRPr="008570B1">
        <w:rPr>
          <w:rFonts w:ascii="Times" w:hAnsi="Times" w:cs="Helvetica"/>
          <w:sz w:val="16"/>
          <w:szCs w:val="16"/>
        </w:rPr>
        <w:t>Routledge</w:t>
      </w:r>
      <w:proofErr w:type="spellEnd"/>
      <w:r w:rsidRPr="008570B1">
        <w:rPr>
          <w:rFonts w:ascii="Times" w:hAnsi="Times" w:cs="Helvetica"/>
          <w:sz w:val="16"/>
          <w:szCs w:val="16"/>
        </w:rPr>
        <w:t>, London, 2010)</w:t>
      </w:r>
    </w:p>
  </w:footnote>
  <w:footnote w:id="36">
    <w:p w14:paraId="3EC095C9" w14:textId="76C8A1C7" w:rsidR="007525BB" w:rsidRPr="008570B1" w:rsidRDefault="007525BB" w:rsidP="00AC696C">
      <w:pPr>
        <w:spacing w:after="0" w:line="240" w:lineRule="auto"/>
        <w:rPr>
          <w:rFonts w:ascii="Times" w:hAnsi="Times" w:cs="Helvetica"/>
          <w:sz w:val="16"/>
          <w:szCs w:val="16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proofErr w:type="gramStart"/>
      <w:r w:rsidRPr="008570B1">
        <w:rPr>
          <w:rFonts w:ascii="Times" w:hAnsi="Times" w:cs="Helvetica"/>
          <w:sz w:val="16"/>
          <w:szCs w:val="16"/>
        </w:rPr>
        <w:t xml:space="preserve">B </w:t>
      </w:r>
      <w:proofErr w:type="spellStart"/>
      <w:r w:rsidRPr="008570B1">
        <w:rPr>
          <w:rFonts w:ascii="Times" w:hAnsi="Times" w:cs="Helvetica"/>
          <w:sz w:val="16"/>
          <w:szCs w:val="16"/>
        </w:rPr>
        <w:t>Bogusz</w:t>
      </w:r>
      <w:proofErr w:type="spellEnd"/>
      <w:r w:rsidRPr="008570B1">
        <w:rPr>
          <w:rFonts w:ascii="Times" w:hAnsi="Times" w:cs="Helvetica"/>
          <w:sz w:val="16"/>
          <w:szCs w:val="16"/>
        </w:rPr>
        <w:t>, “</w:t>
      </w:r>
      <w:r w:rsidRPr="008570B1">
        <w:rPr>
          <w:rFonts w:ascii="Times" w:hAnsi="Times"/>
          <w:sz w:val="16"/>
          <w:szCs w:val="16"/>
        </w:rPr>
        <w:t>Bringing Land Registration into the Twenty–First Century – The Land Registration Act 2002” (2002) 65 MLR 556.</w:t>
      </w:r>
      <w:proofErr w:type="gramEnd"/>
      <w:r w:rsidRPr="008570B1">
        <w:rPr>
          <w:rFonts w:ascii="Times" w:hAnsi="Times"/>
          <w:sz w:val="16"/>
          <w:szCs w:val="16"/>
        </w:rPr>
        <w:t xml:space="preserve"> For example, when rights have been created informally.</w:t>
      </w:r>
    </w:p>
  </w:footnote>
  <w:footnote w:id="37">
    <w:p w14:paraId="5B8C5EC3" w14:textId="6073CF12" w:rsidR="007525BB" w:rsidRPr="008570B1" w:rsidRDefault="007525BB" w:rsidP="00AC696C">
      <w:pPr>
        <w:spacing w:after="0" w:line="240" w:lineRule="auto"/>
        <w:rPr>
          <w:rFonts w:ascii="Times" w:hAnsi="Times" w:cs="Helvetica"/>
          <w:sz w:val="16"/>
          <w:szCs w:val="16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 w:cs="Helvetica"/>
          <w:sz w:val="16"/>
          <w:szCs w:val="16"/>
        </w:rPr>
        <w:t xml:space="preserve">T </w:t>
      </w:r>
      <w:proofErr w:type="spellStart"/>
      <w:r w:rsidRPr="008570B1">
        <w:rPr>
          <w:rFonts w:ascii="Times" w:hAnsi="Times" w:cs="Helvetica"/>
          <w:sz w:val="16"/>
          <w:szCs w:val="16"/>
        </w:rPr>
        <w:t>Ruoff</w:t>
      </w:r>
      <w:proofErr w:type="spellEnd"/>
      <w:r w:rsidRPr="008570B1">
        <w:rPr>
          <w:rFonts w:ascii="Times" w:hAnsi="Times" w:cs="Helvetica"/>
          <w:sz w:val="16"/>
          <w:szCs w:val="16"/>
        </w:rPr>
        <w:t xml:space="preserve">, </w:t>
      </w:r>
      <w:r w:rsidRPr="008570B1">
        <w:rPr>
          <w:rFonts w:ascii="Times" w:hAnsi="Times" w:cs="Helvetica"/>
          <w:i/>
          <w:sz w:val="16"/>
          <w:szCs w:val="16"/>
        </w:rPr>
        <w:t xml:space="preserve">An </w:t>
      </w:r>
      <w:r w:rsidRPr="008570B1">
        <w:rPr>
          <w:rFonts w:ascii="Times" w:hAnsi="Times"/>
          <w:i/>
          <w:sz w:val="16"/>
          <w:szCs w:val="16"/>
          <w:lang w:val="en-US"/>
        </w:rPr>
        <w:t>Englishman Looks at the Torrens System</w:t>
      </w:r>
      <w:r w:rsidRPr="008570B1">
        <w:rPr>
          <w:rFonts w:ascii="Times" w:hAnsi="Times"/>
          <w:sz w:val="16"/>
          <w:szCs w:val="16"/>
          <w:lang w:val="en-US"/>
        </w:rPr>
        <w:t xml:space="preserve"> (</w:t>
      </w:r>
      <w:r w:rsidRPr="008570B1">
        <w:rPr>
          <w:rFonts w:ascii="Times" w:eastAsiaTheme="minorEastAsia" w:hAnsi="Times" w:cs="Verdana"/>
          <w:sz w:val="16"/>
          <w:szCs w:val="16"/>
          <w:lang w:val="en-US"/>
        </w:rPr>
        <w:t>Law Book Co of Australasia, 1957</w:t>
      </w:r>
      <w:r w:rsidRPr="008570B1">
        <w:rPr>
          <w:rFonts w:ascii="Times" w:eastAsiaTheme="minorEastAsia" w:hAnsi="Times" w:cs="Verdana"/>
          <w:color w:val="262626"/>
          <w:sz w:val="16"/>
          <w:szCs w:val="16"/>
          <w:lang w:val="en-US"/>
        </w:rPr>
        <w:t>)</w:t>
      </w:r>
    </w:p>
  </w:footnote>
  <w:footnote w:id="38">
    <w:p w14:paraId="7D5337A6" w14:textId="34722B41" w:rsidR="007525BB" w:rsidRPr="00AC696C" w:rsidRDefault="007525BB" w:rsidP="00AC696C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16"/>
          <w:szCs w:val="16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 w:cs="Helvetica"/>
          <w:sz w:val="16"/>
          <w:szCs w:val="16"/>
        </w:rPr>
        <w:t>Land Registration Act 2002</w:t>
      </w:r>
    </w:p>
  </w:footnote>
  <w:footnote w:id="39">
    <w:p w14:paraId="7D1009D2" w14:textId="40E707CA" w:rsidR="007525BB" w:rsidRPr="008570B1" w:rsidRDefault="007525BB" w:rsidP="00AC696C">
      <w:pPr>
        <w:pStyle w:val="FootnoteText"/>
        <w:rPr>
          <w:rFonts w:ascii="Times" w:hAnsi="Times"/>
          <w:sz w:val="16"/>
          <w:szCs w:val="16"/>
          <w:lang w:val="en-US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Law Com. 271, </w:t>
      </w:r>
      <w:proofErr w:type="spellStart"/>
      <w:r w:rsidRPr="008570B1">
        <w:rPr>
          <w:rFonts w:ascii="Times" w:hAnsi="Times"/>
          <w:sz w:val="16"/>
          <w:szCs w:val="16"/>
        </w:rPr>
        <w:t>para</w:t>
      </w:r>
      <w:proofErr w:type="spellEnd"/>
      <w:r w:rsidRPr="008570B1">
        <w:rPr>
          <w:rFonts w:ascii="Times" w:hAnsi="Times"/>
          <w:sz w:val="16"/>
          <w:szCs w:val="16"/>
        </w:rPr>
        <w:t xml:space="preserve"> 8.62</w:t>
      </w:r>
    </w:p>
  </w:footnote>
  <w:footnote w:id="40">
    <w:p w14:paraId="7248F72F" w14:textId="35B7E99A" w:rsidR="007525BB" w:rsidRPr="008570B1" w:rsidRDefault="007525BB" w:rsidP="00AC696C">
      <w:pPr>
        <w:pStyle w:val="FootnoteText"/>
        <w:rPr>
          <w:rFonts w:ascii="Times" w:hAnsi="Times"/>
          <w:sz w:val="16"/>
          <w:szCs w:val="16"/>
          <w:lang w:val="en-US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Law </w:t>
      </w:r>
      <w:proofErr w:type="spellStart"/>
      <w:r w:rsidRPr="008570B1">
        <w:rPr>
          <w:rFonts w:ascii="Times" w:hAnsi="Times"/>
          <w:sz w:val="16"/>
          <w:szCs w:val="16"/>
        </w:rPr>
        <w:t>Comm</w:t>
      </w:r>
      <w:proofErr w:type="spellEnd"/>
      <w:r w:rsidRPr="008570B1">
        <w:rPr>
          <w:rFonts w:ascii="Times" w:hAnsi="Times"/>
          <w:sz w:val="16"/>
          <w:szCs w:val="16"/>
        </w:rPr>
        <w:t xml:space="preserve"> no 254 </w:t>
      </w:r>
      <w:proofErr w:type="spellStart"/>
      <w:r w:rsidRPr="008570B1">
        <w:rPr>
          <w:rFonts w:ascii="Times" w:hAnsi="Times"/>
          <w:sz w:val="16"/>
          <w:szCs w:val="16"/>
        </w:rPr>
        <w:t>para</w:t>
      </w:r>
      <w:proofErr w:type="spellEnd"/>
      <w:r w:rsidRPr="008570B1">
        <w:rPr>
          <w:rFonts w:ascii="Times" w:hAnsi="Times"/>
          <w:sz w:val="16"/>
          <w:szCs w:val="16"/>
        </w:rPr>
        <w:t xml:space="preserve"> 5.75 Schedule 3(2); means </w:t>
      </w:r>
      <w:r w:rsidRPr="008570B1">
        <w:rPr>
          <w:rFonts w:ascii="Times" w:hAnsi="Times" w:cs="Helvetica"/>
          <w:sz w:val="16"/>
          <w:szCs w:val="16"/>
        </w:rPr>
        <w:t>‘actual’</w:t>
      </w:r>
    </w:p>
  </w:footnote>
  <w:footnote w:id="41">
    <w:p w14:paraId="4C7AFF1F" w14:textId="1168CA81" w:rsidR="007525BB" w:rsidRPr="008570B1" w:rsidRDefault="007525BB" w:rsidP="00AC696C">
      <w:pPr>
        <w:pStyle w:val="FootnoteText"/>
        <w:rPr>
          <w:rFonts w:ascii="Times" w:hAnsi="Times"/>
          <w:sz w:val="16"/>
          <w:szCs w:val="16"/>
          <w:lang w:val="en-US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(Ibid)</w:t>
      </w:r>
    </w:p>
  </w:footnote>
  <w:footnote w:id="42">
    <w:p w14:paraId="66F24F8D" w14:textId="59D68C27" w:rsidR="007525BB" w:rsidRPr="008570B1" w:rsidRDefault="007525BB" w:rsidP="00AC696C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16"/>
          <w:szCs w:val="16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 w:cs="Helvetica"/>
          <w:sz w:val="16"/>
          <w:szCs w:val="16"/>
        </w:rPr>
        <w:t xml:space="preserve">MP Thompson, </w:t>
      </w:r>
      <w:r w:rsidRPr="008570B1">
        <w:rPr>
          <w:rFonts w:ascii="Times" w:hAnsi="Times" w:cs="Helvetica"/>
          <w:i/>
          <w:sz w:val="16"/>
          <w:szCs w:val="16"/>
        </w:rPr>
        <w:t>Modern Land Law</w:t>
      </w:r>
      <w:r w:rsidRPr="008570B1">
        <w:rPr>
          <w:rFonts w:ascii="Times" w:hAnsi="Times" w:cs="Helvetica"/>
          <w:sz w:val="16"/>
          <w:szCs w:val="16"/>
        </w:rPr>
        <w:t xml:space="preserve"> (5</w:t>
      </w:r>
      <w:r w:rsidRPr="008570B1">
        <w:rPr>
          <w:rFonts w:ascii="Times" w:hAnsi="Times" w:cs="Helvetica"/>
          <w:sz w:val="16"/>
          <w:szCs w:val="16"/>
          <w:vertAlign w:val="superscript"/>
        </w:rPr>
        <w:t>th</w:t>
      </w:r>
      <w:r w:rsidRPr="008570B1">
        <w:rPr>
          <w:rFonts w:ascii="Times" w:hAnsi="Times" w:cs="Helvetica"/>
          <w:sz w:val="16"/>
          <w:szCs w:val="16"/>
        </w:rPr>
        <w:t xml:space="preserve"> edition, OUP, Oxford, 2012)</w:t>
      </w:r>
    </w:p>
  </w:footnote>
  <w:footnote w:id="43">
    <w:p w14:paraId="18F9A0BE" w14:textId="0F10ACDB" w:rsidR="007525BB" w:rsidRPr="006C2E17" w:rsidRDefault="007525BB" w:rsidP="00AC696C">
      <w:pPr>
        <w:spacing w:after="0" w:line="240" w:lineRule="auto"/>
        <w:rPr>
          <w:rFonts w:ascii="Times" w:hAnsi="Times"/>
          <w:sz w:val="16"/>
          <w:szCs w:val="16"/>
          <w:lang w:val="en-US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N Jackson, “Title By Registration and Concealed Overriding Interests: The Cause and Effect of Antipathy to Documentary Proof” (2003) 119 Law Quarterly Review</w:t>
      </w:r>
      <w:r w:rsidR="00C93AD5" w:rsidRPr="008570B1">
        <w:rPr>
          <w:rFonts w:ascii="Times" w:eastAsiaTheme="minorEastAsia" w:hAnsi="Times" w:cs="Arial"/>
          <w:sz w:val="16"/>
          <w:szCs w:val="16"/>
          <w:lang w:val="en-US"/>
        </w:rPr>
        <w:t xml:space="preserve"> 660. He argues that such requirements were considered prior to the enactment of the LRA 2002 and that </w:t>
      </w:r>
      <w:r w:rsidRPr="008570B1">
        <w:rPr>
          <w:rFonts w:ascii="Times" w:hAnsi="Times" w:cs="Helvetica"/>
          <w:sz w:val="16"/>
          <w:szCs w:val="16"/>
        </w:rPr>
        <w:t>courts would</w:t>
      </w:r>
      <w:r w:rsidR="00C93AD5" w:rsidRPr="008570B1">
        <w:rPr>
          <w:rFonts w:ascii="Times" w:hAnsi="Times" w:cs="Helvetica"/>
          <w:sz w:val="16"/>
          <w:szCs w:val="16"/>
        </w:rPr>
        <w:t xml:space="preserve"> nonetheless</w:t>
      </w:r>
      <w:r w:rsidRPr="008570B1">
        <w:rPr>
          <w:rFonts w:ascii="Times" w:hAnsi="Times" w:cs="Helvetica"/>
          <w:sz w:val="16"/>
          <w:szCs w:val="16"/>
        </w:rPr>
        <w:t xml:space="preserve"> favour occupiers rather than purchasers</w:t>
      </w:r>
      <w:r w:rsidR="00C93AD5" w:rsidRPr="008570B1">
        <w:rPr>
          <w:rFonts w:ascii="Times" w:hAnsi="Times" w:cs="Helvetica"/>
          <w:sz w:val="16"/>
          <w:szCs w:val="16"/>
        </w:rPr>
        <w:t xml:space="preserve">, </w:t>
      </w:r>
      <w:r w:rsidRPr="008570B1">
        <w:rPr>
          <w:rFonts w:ascii="Times" w:hAnsi="Times"/>
          <w:bCs/>
          <w:i/>
          <w:sz w:val="16"/>
          <w:szCs w:val="16"/>
          <w:lang w:val="en-US"/>
        </w:rPr>
        <w:t>Lloyds</w:t>
      </w:r>
      <w:r w:rsidRPr="008570B1">
        <w:rPr>
          <w:rFonts w:ascii="Times" w:hAnsi="Times"/>
          <w:i/>
          <w:sz w:val="16"/>
          <w:szCs w:val="16"/>
          <w:lang w:val="en-US"/>
        </w:rPr>
        <w:t xml:space="preserve"> Bank </w:t>
      </w:r>
      <w:proofErr w:type="spellStart"/>
      <w:r w:rsidRPr="008570B1">
        <w:rPr>
          <w:rFonts w:ascii="Times" w:hAnsi="Times"/>
          <w:i/>
          <w:sz w:val="16"/>
          <w:szCs w:val="16"/>
          <w:lang w:val="en-US"/>
        </w:rPr>
        <w:t>plc</w:t>
      </w:r>
      <w:proofErr w:type="spellEnd"/>
      <w:r w:rsidRPr="008570B1">
        <w:rPr>
          <w:rFonts w:ascii="Times" w:hAnsi="Times"/>
          <w:i/>
          <w:sz w:val="16"/>
          <w:szCs w:val="16"/>
          <w:lang w:val="en-US"/>
        </w:rPr>
        <w:t xml:space="preserve"> v </w:t>
      </w:r>
      <w:proofErr w:type="spellStart"/>
      <w:r w:rsidRPr="008570B1">
        <w:rPr>
          <w:rFonts w:ascii="Times" w:hAnsi="Times"/>
          <w:bCs/>
          <w:i/>
          <w:sz w:val="16"/>
          <w:szCs w:val="16"/>
          <w:lang w:val="en-US"/>
        </w:rPr>
        <w:t>Rosset</w:t>
      </w:r>
      <w:proofErr w:type="spellEnd"/>
      <w:r w:rsidRPr="008570B1">
        <w:rPr>
          <w:rFonts w:ascii="Times" w:hAnsi="Times"/>
          <w:sz w:val="16"/>
          <w:szCs w:val="16"/>
          <w:lang w:val="en-US"/>
        </w:rPr>
        <w:t xml:space="preserve"> [1990] UKHL 14</w:t>
      </w:r>
      <w:r w:rsidR="00C93AD5" w:rsidRPr="008570B1">
        <w:rPr>
          <w:rFonts w:ascii="Times" w:hAnsi="Times"/>
          <w:sz w:val="16"/>
          <w:szCs w:val="16"/>
          <w:lang w:val="en-US"/>
        </w:rPr>
        <w:t xml:space="preserve"> being an example</w:t>
      </w:r>
    </w:p>
  </w:footnote>
  <w:footnote w:id="44">
    <w:p w14:paraId="49BA3A51" w14:textId="5EACEA56" w:rsidR="007525BB" w:rsidRPr="008570B1" w:rsidRDefault="007525BB" w:rsidP="00AC696C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16"/>
          <w:szCs w:val="16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 w:cs="Helvetica"/>
          <w:sz w:val="16"/>
          <w:szCs w:val="16"/>
        </w:rPr>
        <w:t>Land Registration Act 2002</w:t>
      </w:r>
    </w:p>
  </w:footnote>
  <w:footnote w:id="45">
    <w:p w14:paraId="59B1B58C" w14:textId="72B6C3F5" w:rsidR="007525BB" w:rsidRPr="008570B1" w:rsidRDefault="007525BB" w:rsidP="00AC696C">
      <w:pPr>
        <w:pStyle w:val="FootnoteText"/>
        <w:rPr>
          <w:rFonts w:ascii="Times" w:hAnsi="Times"/>
          <w:sz w:val="16"/>
          <w:szCs w:val="16"/>
          <w:lang w:val="en-US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="00CB2751" w:rsidRPr="008570B1">
        <w:rPr>
          <w:rFonts w:ascii="Times" w:hAnsi="Times"/>
          <w:sz w:val="16"/>
          <w:szCs w:val="16"/>
        </w:rPr>
        <w:t xml:space="preserve"> (Ibid) In fact, u</w:t>
      </w:r>
      <w:r w:rsidRPr="008570B1">
        <w:rPr>
          <w:rFonts w:ascii="Times" w:hAnsi="Times" w:cs="Helvetica"/>
          <w:sz w:val="16"/>
          <w:szCs w:val="16"/>
        </w:rPr>
        <w:t xml:space="preserve">nder s 6(4) </w:t>
      </w:r>
      <w:proofErr w:type="gramStart"/>
      <w:r w:rsidRPr="008570B1">
        <w:rPr>
          <w:rFonts w:ascii="Times" w:hAnsi="Times" w:cs="Helvetica"/>
          <w:sz w:val="16"/>
          <w:szCs w:val="16"/>
        </w:rPr>
        <w:t>has</w:t>
      </w:r>
      <w:proofErr w:type="gramEnd"/>
      <w:r w:rsidRPr="008570B1">
        <w:rPr>
          <w:rFonts w:ascii="Times" w:hAnsi="Times" w:cs="Helvetica"/>
          <w:sz w:val="16"/>
          <w:szCs w:val="16"/>
        </w:rPr>
        <w:t xml:space="preserve"> placed them in three different schedules and treats them differently.</w:t>
      </w:r>
    </w:p>
  </w:footnote>
  <w:footnote w:id="46">
    <w:p w14:paraId="6B8A4C17" w14:textId="107AF0BC" w:rsidR="007525BB" w:rsidRPr="008570B1" w:rsidRDefault="007525BB" w:rsidP="008570B1">
      <w:pPr>
        <w:pStyle w:val="FootnoteText"/>
        <w:rPr>
          <w:rFonts w:ascii="Times" w:hAnsi="Times"/>
          <w:sz w:val="16"/>
          <w:szCs w:val="16"/>
          <w:lang w:val="en-US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="00CB2751" w:rsidRPr="008570B1">
        <w:rPr>
          <w:rFonts w:ascii="Times" w:hAnsi="Times"/>
          <w:sz w:val="16"/>
          <w:szCs w:val="16"/>
          <w:lang w:val="en-US"/>
        </w:rPr>
        <w:t>The certainty that the registration brings about ensures that people pay taxes</w:t>
      </w:r>
    </w:p>
  </w:footnote>
  <w:footnote w:id="47">
    <w:p w14:paraId="1A80CB0F" w14:textId="47F44EA2" w:rsidR="007525BB" w:rsidRPr="008570B1" w:rsidRDefault="007525BB" w:rsidP="00E42F1C">
      <w:pPr>
        <w:autoSpaceDE w:val="0"/>
        <w:autoSpaceDN w:val="0"/>
        <w:adjustRightInd w:val="0"/>
        <w:spacing w:after="0" w:line="240" w:lineRule="auto"/>
        <w:rPr>
          <w:rFonts w:ascii="Times" w:hAnsi="Times" w:cs="Helvetica"/>
          <w:sz w:val="16"/>
          <w:szCs w:val="16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 w:cs="Helvetica"/>
          <w:sz w:val="16"/>
          <w:szCs w:val="16"/>
        </w:rPr>
        <w:t>Land Registration Act 2002</w:t>
      </w:r>
    </w:p>
  </w:footnote>
  <w:footnote w:id="48">
    <w:p w14:paraId="259B91B6" w14:textId="0FC13B79" w:rsidR="007525BB" w:rsidRPr="008570B1" w:rsidRDefault="007525BB" w:rsidP="00E42F1C">
      <w:pPr>
        <w:pStyle w:val="FootnoteText"/>
        <w:rPr>
          <w:rFonts w:ascii="Times" w:hAnsi="Times"/>
          <w:sz w:val="16"/>
          <w:szCs w:val="16"/>
          <w:lang w:val="en-US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="00CB2751" w:rsidRPr="008570B1">
        <w:rPr>
          <w:rFonts w:ascii="Times" w:hAnsi="Times" w:cs="Helvetica"/>
          <w:sz w:val="16"/>
          <w:szCs w:val="16"/>
        </w:rPr>
        <w:t xml:space="preserve">MJ Dixon, </w:t>
      </w:r>
      <w:r w:rsidR="00CB2751" w:rsidRPr="008570B1">
        <w:rPr>
          <w:rFonts w:ascii="Times" w:hAnsi="Times" w:cs="Helvetica"/>
          <w:i/>
          <w:sz w:val="16"/>
          <w:szCs w:val="16"/>
        </w:rPr>
        <w:t>Modern Land Law</w:t>
      </w:r>
      <w:r w:rsidR="00CB2751" w:rsidRPr="008570B1">
        <w:rPr>
          <w:rFonts w:ascii="Times" w:hAnsi="Times" w:cs="Helvetica"/>
          <w:sz w:val="16"/>
          <w:szCs w:val="16"/>
        </w:rPr>
        <w:t xml:space="preserve"> (3</w:t>
      </w:r>
      <w:r w:rsidR="00CB2751" w:rsidRPr="008570B1">
        <w:rPr>
          <w:rFonts w:ascii="Times" w:hAnsi="Times" w:cs="Helvetica"/>
          <w:sz w:val="16"/>
          <w:szCs w:val="16"/>
          <w:vertAlign w:val="superscript"/>
        </w:rPr>
        <w:t>rd</w:t>
      </w:r>
      <w:r w:rsidR="00CB2751" w:rsidRPr="008570B1">
        <w:rPr>
          <w:rFonts w:ascii="Times" w:hAnsi="Times" w:cs="Helvetica"/>
          <w:sz w:val="16"/>
          <w:szCs w:val="16"/>
        </w:rPr>
        <w:t xml:space="preserve"> edition, </w:t>
      </w:r>
      <w:proofErr w:type="spellStart"/>
      <w:r w:rsidR="00CB2751" w:rsidRPr="008570B1">
        <w:rPr>
          <w:rFonts w:ascii="Times" w:hAnsi="Times" w:cs="Helvetica"/>
          <w:sz w:val="16"/>
          <w:szCs w:val="16"/>
        </w:rPr>
        <w:t>Routledge</w:t>
      </w:r>
      <w:proofErr w:type="spellEnd"/>
      <w:r w:rsidR="00CB2751" w:rsidRPr="008570B1">
        <w:rPr>
          <w:rFonts w:ascii="Times" w:hAnsi="Times" w:cs="Helvetica"/>
          <w:sz w:val="16"/>
          <w:szCs w:val="16"/>
        </w:rPr>
        <w:t>, London, 2010)</w:t>
      </w:r>
    </w:p>
  </w:footnote>
  <w:footnote w:id="49">
    <w:p w14:paraId="17153267" w14:textId="753F1FF3" w:rsidR="00CB2751" w:rsidRPr="008570B1" w:rsidRDefault="00CB2751" w:rsidP="00E42F1C">
      <w:pPr>
        <w:pStyle w:val="FootnoteText"/>
        <w:rPr>
          <w:rFonts w:ascii="Times" w:hAnsi="Times"/>
          <w:sz w:val="16"/>
          <w:szCs w:val="16"/>
          <w:lang w:val="en-US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 w:cs="Helvetica"/>
          <w:sz w:val="16"/>
          <w:szCs w:val="16"/>
        </w:rPr>
        <w:t xml:space="preserve">B </w:t>
      </w:r>
      <w:proofErr w:type="spellStart"/>
      <w:r w:rsidRPr="008570B1">
        <w:rPr>
          <w:rFonts w:ascii="Times" w:hAnsi="Times" w:cs="Helvetica"/>
          <w:sz w:val="16"/>
          <w:szCs w:val="16"/>
        </w:rPr>
        <w:t>Bogusz</w:t>
      </w:r>
      <w:proofErr w:type="spellEnd"/>
      <w:r w:rsidRPr="008570B1">
        <w:rPr>
          <w:rFonts w:ascii="Times" w:hAnsi="Times" w:cs="Helvetica"/>
          <w:sz w:val="16"/>
          <w:szCs w:val="16"/>
        </w:rPr>
        <w:t>, “</w:t>
      </w:r>
      <w:r w:rsidRPr="008570B1">
        <w:rPr>
          <w:rFonts w:ascii="Times" w:hAnsi="Times"/>
          <w:sz w:val="16"/>
          <w:szCs w:val="16"/>
        </w:rPr>
        <w:t>Bringing Land Registration into the Twenty–First Century – The Land Registration Act 2002” (2002) 65 MLR 556</w:t>
      </w:r>
    </w:p>
  </w:footnote>
  <w:footnote w:id="50">
    <w:p w14:paraId="36FA8701" w14:textId="61076F21" w:rsidR="007525BB" w:rsidRPr="008570B1" w:rsidRDefault="007525BB" w:rsidP="00E42F1C">
      <w:pPr>
        <w:spacing w:after="0" w:line="240" w:lineRule="auto"/>
        <w:rPr>
          <w:rFonts w:ascii="Times" w:hAnsi="Times" w:cs="Helvetica"/>
          <w:sz w:val="16"/>
          <w:szCs w:val="16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 w:cs="Helvetica"/>
          <w:sz w:val="16"/>
          <w:szCs w:val="16"/>
        </w:rPr>
        <w:t>Land Registration Act 1925</w:t>
      </w:r>
    </w:p>
  </w:footnote>
  <w:footnote w:id="51">
    <w:p w14:paraId="22814F59" w14:textId="79EBC19D" w:rsidR="007525BB" w:rsidRPr="008570B1" w:rsidRDefault="007525BB" w:rsidP="00E42F1C">
      <w:pPr>
        <w:pStyle w:val="FootnoteText"/>
        <w:rPr>
          <w:rFonts w:ascii="Times" w:hAnsi="Times"/>
          <w:sz w:val="16"/>
          <w:szCs w:val="16"/>
          <w:lang w:val="en-US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="00B53476" w:rsidRPr="008570B1">
        <w:rPr>
          <w:rFonts w:ascii="Times" w:hAnsi="Times"/>
          <w:sz w:val="16"/>
          <w:szCs w:val="16"/>
        </w:rPr>
        <w:t xml:space="preserve">Which has </w:t>
      </w:r>
      <w:r w:rsidR="00B53476" w:rsidRPr="008570B1">
        <w:rPr>
          <w:rFonts w:ascii="Times" w:hAnsi="Times" w:cs="Helvetica"/>
          <w:sz w:val="16"/>
          <w:szCs w:val="16"/>
        </w:rPr>
        <w:t>resulted in judicial (</w:t>
      </w:r>
      <w:proofErr w:type="spellStart"/>
      <w:proofErr w:type="gramStart"/>
      <w:r w:rsidR="00B53476" w:rsidRPr="008570B1">
        <w:rPr>
          <w:rFonts w:ascii="Times" w:hAnsi="Times" w:cs="Helvetica"/>
          <w:sz w:val="16"/>
          <w:szCs w:val="16"/>
        </w:rPr>
        <w:t>mis</w:t>
      </w:r>
      <w:proofErr w:type="spellEnd"/>
      <w:r w:rsidR="00B53476" w:rsidRPr="008570B1">
        <w:rPr>
          <w:rFonts w:ascii="Times" w:hAnsi="Times" w:cs="Helvetica"/>
          <w:sz w:val="16"/>
          <w:szCs w:val="16"/>
        </w:rPr>
        <w:t>)interpretation</w:t>
      </w:r>
      <w:proofErr w:type="gramEnd"/>
      <w:r w:rsidR="00B53476" w:rsidRPr="008570B1">
        <w:rPr>
          <w:rFonts w:ascii="Times" w:hAnsi="Times" w:cs="Helvetica"/>
          <w:sz w:val="16"/>
          <w:szCs w:val="16"/>
        </w:rPr>
        <w:t xml:space="preserve">, such as in the </w:t>
      </w:r>
      <w:r w:rsidR="00B53476" w:rsidRPr="008570B1">
        <w:rPr>
          <w:rFonts w:ascii="Times" w:hAnsi="Times" w:cs="Helvetica"/>
          <w:i/>
          <w:sz w:val="16"/>
          <w:szCs w:val="16"/>
        </w:rPr>
        <w:t>Fitzwilliam</w:t>
      </w:r>
      <w:r w:rsidR="00B53476" w:rsidRPr="008570B1">
        <w:rPr>
          <w:rFonts w:ascii="Times" w:hAnsi="Times" w:cs="Helvetica"/>
          <w:sz w:val="16"/>
          <w:szCs w:val="16"/>
        </w:rPr>
        <w:t xml:space="preserve"> case</w:t>
      </w:r>
    </w:p>
  </w:footnote>
  <w:footnote w:id="52">
    <w:p w14:paraId="68C3CFEB" w14:textId="6A91C781" w:rsidR="007525BB" w:rsidRPr="00671849" w:rsidRDefault="007525BB" w:rsidP="00E42F1C">
      <w:pPr>
        <w:pStyle w:val="FootnoteText"/>
        <w:rPr>
          <w:rFonts w:ascii="Times" w:hAnsi="Times"/>
          <w:sz w:val="16"/>
          <w:szCs w:val="16"/>
          <w:lang w:val="en-US"/>
        </w:rPr>
      </w:pPr>
      <w:r w:rsidRPr="008570B1">
        <w:rPr>
          <w:rStyle w:val="FootnoteReference"/>
          <w:rFonts w:ascii="Times" w:hAnsi="Times"/>
          <w:sz w:val="16"/>
          <w:szCs w:val="16"/>
        </w:rPr>
        <w:footnoteRef/>
      </w:r>
      <w:r w:rsidRPr="008570B1">
        <w:rPr>
          <w:rFonts w:ascii="Times" w:hAnsi="Times"/>
          <w:sz w:val="16"/>
          <w:szCs w:val="16"/>
        </w:rPr>
        <w:t xml:space="preserve"> </w:t>
      </w:r>
      <w:r w:rsidRPr="008570B1">
        <w:rPr>
          <w:rFonts w:ascii="Times" w:hAnsi="Times"/>
          <w:sz w:val="16"/>
          <w:szCs w:val="16"/>
          <w:lang w:val="en-US"/>
        </w:rPr>
        <w:t xml:space="preserve">Law Commission </w:t>
      </w:r>
      <w:r w:rsidR="00B53476" w:rsidRPr="008570B1">
        <w:rPr>
          <w:rFonts w:ascii="Times" w:hAnsi="Times"/>
          <w:sz w:val="16"/>
          <w:szCs w:val="16"/>
          <w:lang w:val="en-US"/>
        </w:rPr>
        <w:t xml:space="preserve">(2001) </w:t>
      </w:r>
      <w:r w:rsidRPr="008570B1">
        <w:rPr>
          <w:rFonts w:ascii="Times" w:hAnsi="Times"/>
          <w:sz w:val="16"/>
          <w:szCs w:val="16"/>
          <w:lang w:val="en-US"/>
        </w:rPr>
        <w:t>271</w:t>
      </w:r>
      <w:r w:rsidRPr="006C2E17">
        <w:rPr>
          <w:rFonts w:ascii="Times" w:hAnsi="Times"/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3D1"/>
    <w:multiLevelType w:val="hybridMultilevel"/>
    <w:tmpl w:val="3A7AC27E"/>
    <w:lvl w:ilvl="0" w:tplc="D7D2207E">
      <w:start w:val="1"/>
      <w:numFmt w:val="decimal"/>
      <w:lvlText w:val="%1."/>
      <w:lvlJc w:val="left"/>
      <w:pPr>
        <w:ind w:left="720" w:hanging="360"/>
      </w:pPr>
      <w:rPr>
        <w:rFonts w:ascii="Times" w:eastAsia="Calibri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D3470"/>
    <w:multiLevelType w:val="hybridMultilevel"/>
    <w:tmpl w:val="DC0E8CDC"/>
    <w:lvl w:ilvl="0" w:tplc="2FB244B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7" w:hanging="360"/>
      </w:pPr>
    </w:lvl>
    <w:lvl w:ilvl="2" w:tplc="0410001B" w:tentative="1">
      <w:start w:val="1"/>
      <w:numFmt w:val="lowerRoman"/>
      <w:lvlText w:val="%3."/>
      <w:lvlJc w:val="right"/>
      <w:pPr>
        <w:ind w:left="3217" w:hanging="180"/>
      </w:pPr>
    </w:lvl>
    <w:lvl w:ilvl="3" w:tplc="0410000F" w:tentative="1">
      <w:start w:val="1"/>
      <w:numFmt w:val="decimal"/>
      <w:lvlText w:val="%4."/>
      <w:lvlJc w:val="left"/>
      <w:pPr>
        <w:ind w:left="3937" w:hanging="360"/>
      </w:pPr>
    </w:lvl>
    <w:lvl w:ilvl="4" w:tplc="04100019" w:tentative="1">
      <w:start w:val="1"/>
      <w:numFmt w:val="lowerLetter"/>
      <w:lvlText w:val="%5."/>
      <w:lvlJc w:val="left"/>
      <w:pPr>
        <w:ind w:left="4657" w:hanging="360"/>
      </w:pPr>
    </w:lvl>
    <w:lvl w:ilvl="5" w:tplc="0410001B" w:tentative="1">
      <w:start w:val="1"/>
      <w:numFmt w:val="lowerRoman"/>
      <w:lvlText w:val="%6."/>
      <w:lvlJc w:val="right"/>
      <w:pPr>
        <w:ind w:left="5377" w:hanging="180"/>
      </w:pPr>
    </w:lvl>
    <w:lvl w:ilvl="6" w:tplc="0410000F" w:tentative="1">
      <w:start w:val="1"/>
      <w:numFmt w:val="decimal"/>
      <w:lvlText w:val="%7."/>
      <w:lvlJc w:val="left"/>
      <w:pPr>
        <w:ind w:left="6097" w:hanging="360"/>
      </w:pPr>
    </w:lvl>
    <w:lvl w:ilvl="7" w:tplc="04100019" w:tentative="1">
      <w:start w:val="1"/>
      <w:numFmt w:val="lowerLetter"/>
      <w:lvlText w:val="%8."/>
      <w:lvlJc w:val="left"/>
      <w:pPr>
        <w:ind w:left="6817" w:hanging="360"/>
      </w:pPr>
    </w:lvl>
    <w:lvl w:ilvl="8" w:tplc="0410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53DF5D6E"/>
    <w:multiLevelType w:val="hybridMultilevel"/>
    <w:tmpl w:val="D1C610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264971"/>
    <w:multiLevelType w:val="hybridMultilevel"/>
    <w:tmpl w:val="F7AE7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60684"/>
    <w:multiLevelType w:val="hybridMultilevel"/>
    <w:tmpl w:val="6980F482"/>
    <w:lvl w:ilvl="0" w:tplc="AB9C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E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E6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4D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4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46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8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8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C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E72DA9"/>
    <w:multiLevelType w:val="hybridMultilevel"/>
    <w:tmpl w:val="F3BAEA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8"/>
    <w:rsid w:val="00001993"/>
    <w:rsid w:val="00006DEA"/>
    <w:rsid w:val="00036348"/>
    <w:rsid w:val="00040E06"/>
    <w:rsid w:val="00050C4C"/>
    <w:rsid w:val="000A7CB7"/>
    <w:rsid w:val="000B19D4"/>
    <w:rsid w:val="000D6757"/>
    <w:rsid w:val="000D7D33"/>
    <w:rsid w:val="000E00F1"/>
    <w:rsid w:val="000E5B2A"/>
    <w:rsid w:val="000F0186"/>
    <w:rsid w:val="00133B76"/>
    <w:rsid w:val="00140EDC"/>
    <w:rsid w:val="00171941"/>
    <w:rsid w:val="001745E6"/>
    <w:rsid w:val="001A030D"/>
    <w:rsid w:val="001E4F80"/>
    <w:rsid w:val="001E6E0B"/>
    <w:rsid w:val="00246E9F"/>
    <w:rsid w:val="002942DB"/>
    <w:rsid w:val="002B4E7D"/>
    <w:rsid w:val="002C44DE"/>
    <w:rsid w:val="002E1610"/>
    <w:rsid w:val="002F0D38"/>
    <w:rsid w:val="003868E6"/>
    <w:rsid w:val="003B0D50"/>
    <w:rsid w:val="003E434E"/>
    <w:rsid w:val="0041743F"/>
    <w:rsid w:val="0042711F"/>
    <w:rsid w:val="0046154A"/>
    <w:rsid w:val="00461D6E"/>
    <w:rsid w:val="004D36B6"/>
    <w:rsid w:val="004E3BED"/>
    <w:rsid w:val="00500959"/>
    <w:rsid w:val="00510FBF"/>
    <w:rsid w:val="005116C0"/>
    <w:rsid w:val="0056718A"/>
    <w:rsid w:val="0059281D"/>
    <w:rsid w:val="005B5FFB"/>
    <w:rsid w:val="00612B94"/>
    <w:rsid w:val="006149B9"/>
    <w:rsid w:val="00616909"/>
    <w:rsid w:val="006324CF"/>
    <w:rsid w:val="00650811"/>
    <w:rsid w:val="00661852"/>
    <w:rsid w:val="00671849"/>
    <w:rsid w:val="00674A10"/>
    <w:rsid w:val="006A4649"/>
    <w:rsid w:val="006C2E17"/>
    <w:rsid w:val="006D7358"/>
    <w:rsid w:val="006E7D95"/>
    <w:rsid w:val="007525BB"/>
    <w:rsid w:val="00756883"/>
    <w:rsid w:val="00762706"/>
    <w:rsid w:val="007A56D8"/>
    <w:rsid w:val="007A6B6E"/>
    <w:rsid w:val="007C11CF"/>
    <w:rsid w:val="007D4DA3"/>
    <w:rsid w:val="007D59A9"/>
    <w:rsid w:val="007F6166"/>
    <w:rsid w:val="00832AA3"/>
    <w:rsid w:val="00832BAA"/>
    <w:rsid w:val="00840B74"/>
    <w:rsid w:val="00846AFE"/>
    <w:rsid w:val="00854069"/>
    <w:rsid w:val="00856367"/>
    <w:rsid w:val="008570B1"/>
    <w:rsid w:val="00867298"/>
    <w:rsid w:val="00870C50"/>
    <w:rsid w:val="008A3215"/>
    <w:rsid w:val="008B13CD"/>
    <w:rsid w:val="008D0E62"/>
    <w:rsid w:val="008E550C"/>
    <w:rsid w:val="008F0106"/>
    <w:rsid w:val="00906BC7"/>
    <w:rsid w:val="00910F9A"/>
    <w:rsid w:val="009148A7"/>
    <w:rsid w:val="00916D68"/>
    <w:rsid w:val="0095002D"/>
    <w:rsid w:val="009853B8"/>
    <w:rsid w:val="009A5A0F"/>
    <w:rsid w:val="009C0D31"/>
    <w:rsid w:val="009F6D98"/>
    <w:rsid w:val="00A369EE"/>
    <w:rsid w:val="00AA45AE"/>
    <w:rsid w:val="00AC696C"/>
    <w:rsid w:val="00AD638B"/>
    <w:rsid w:val="00AE66CD"/>
    <w:rsid w:val="00AF1EE4"/>
    <w:rsid w:val="00B1713C"/>
    <w:rsid w:val="00B24740"/>
    <w:rsid w:val="00B53476"/>
    <w:rsid w:val="00B63079"/>
    <w:rsid w:val="00B85ADD"/>
    <w:rsid w:val="00BA6EF0"/>
    <w:rsid w:val="00BB4255"/>
    <w:rsid w:val="00BB6E19"/>
    <w:rsid w:val="00BF7AF6"/>
    <w:rsid w:val="00C10745"/>
    <w:rsid w:val="00C13473"/>
    <w:rsid w:val="00C163F7"/>
    <w:rsid w:val="00C36F30"/>
    <w:rsid w:val="00C503A6"/>
    <w:rsid w:val="00C50D96"/>
    <w:rsid w:val="00C66FAE"/>
    <w:rsid w:val="00C802EA"/>
    <w:rsid w:val="00C93AD5"/>
    <w:rsid w:val="00CB2751"/>
    <w:rsid w:val="00CB4B51"/>
    <w:rsid w:val="00CD2D77"/>
    <w:rsid w:val="00CE1574"/>
    <w:rsid w:val="00D22D64"/>
    <w:rsid w:val="00D2394F"/>
    <w:rsid w:val="00D53F0C"/>
    <w:rsid w:val="00D654B8"/>
    <w:rsid w:val="00D86A42"/>
    <w:rsid w:val="00D93C09"/>
    <w:rsid w:val="00E0240D"/>
    <w:rsid w:val="00E42F1C"/>
    <w:rsid w:val="00E47989"/>
    <w:rsid w:val="00E72576"/>
    <w:rsid w:val="00E742ED"/>
    <w:rsid w:val="00E831A4"/>
    <w:rsid w:val="00E83C25"/>
    <w:rsid w:val="00E8765B"/>
    <w:rsid w:val="00EA0CB1"/>
    <w:rsid w:val="00EB0199"/>
    <w:rsid w:val="00EC7151"/>
    <w:rsid w:val="00EE0EE5"/>
    <w:rsid w:val="00F01D60"/>
    <w:rsid w:val="00F1051A"/>
    <w:rsid w:val="00F14424"/>
    <w:rsid w:val="00F14BF9"/>
    <w:rsid w:val="00F27AD2"/>
    <w:rsid w:val="00F47303"/>
    <w:rsid w:val="00F64033"/>
    <w:rsid w:val="00FD2606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1C5A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D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42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424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F144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1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94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D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42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424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F144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1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94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CAC62-9B7E-854F-820D-8118DAE4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976</Words>
  <Characters>5569</Characters>
  <Application>Microsoft Macintosh Word</Application>
  <DocSecurity>0</DocSecurity>
  <Lines>46</Lines>
  <Paragraphs>13</Paragraphs>
  <ScaleCrop>false</ScaleCrop>
  <Company>Cardiff University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Carlucci</dc:creator>
  <cp:keywords/>
  <dc:description/>
  <cp:lastModifiedBy>will glynn</cp:lastModifiedBy>
  <cp:revision>2</cp:revision>
  <dcterms:created xsi:type="dcterms:W3CDTF">2015-02-27T09:26:00Z</dcterms:created>
  <dcterms:modified xsi:type="dcterms:W3CDTF">2015-02-27T09:26:00Z</dcterms:modified>
</cp:coreProperties>
</file>